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2B386" w14:textId="77777777" w:rsidR="00CA7716" w:rsidRPr="00CA7716" w:rsidRDefault="00CA7716" w:rsidP="00CA7716">
      <w:pPr>
        <w:spacing w:after="0" w:line="360" w:lineRule="auto"/>
        <w:jc w:val="right"/>
        <w:rPr>
          <w:rFonts w:asciiTheme="majorBidi" w:eastAsia="Times New Roman" w:hAnsiTheme="majorBidi" w:cstheme="majorBidi"/>
          <w:b/>
          <w:color w:val="FF0000"/>
          <w:sz w:val="24"/>
          <w:szCs w:val="24"/>
        </w:rPr>
      </w:pPr>
      <w:r w:rsidRPr="00CA7716">
        <w:rPr>
          <w:rFonts w:asciiTheme="majorBidi" w:eastAsia="Times New Roman" w:hAnsiTheme="majorBidi" w:cstheme="majorBidi"/>
          <w:b/>
          <w:color w:val="FF0000"/>
          <w:sz w:val="24"/>
          <w:szCs w:val="24"/>
        </w:rPr>
        <w:t>PROJEKT</w:t>
      </w:r>
    </w:p>
    <w:p w14:paraId="0F9DD454" w14:textId="77777777" w:rsidR="00CA7716" w:rsidRPr="00CA7716" w:rsidRDefault="00CA7716" w:rsidP="00CA7716">
      <w:pPr>
        <w:spacing w:after="0" w:line="360" w:lineRule="auto"/>
        <w:jc w:val="center"/>
        <w:rPr>
          <w:rFonts w:asciiTheme="majorBidi" w:eastAsia="Calibri" w:hAnsiTheme="majorBidi" w:cstheme="majorBidi"/>
          <w:b/>
          <w:color w:val="FF0000"/>
          <w:sz w:val="24"/>
          <w:szCs w:val="24"/>
          <w:lang w:eastAsia="en-US"/>
        </w:rPr>
      </w:pPr>
    </w:p>
    <w:p w14:paraId="34E75A48" w14:textId="77777777" w:rsidR="00CA7716" w:rsidRPr="00CA7716" w:rsidRDefault="00CA7716" w:rsidP="00CA7716">
      <w:pPr>
        <w:spacing w:after="0" w:line="360" w:lineRule="auto"/>
        <w:jc w:val="center"/>
        <w:rPr>
          <w:rFonts w:asciiTheme="majorBidi" w:eastAsia="Calibri" w:hAnsiTheme="majorBidi" w:cstheme="majorBidi"/>
          <w:b/>
          <w:color w:val="FF0000"/>
          <w:sz w:val="24"/>
          <w:szCs w:val="24"/>
          <w:lang w:eastAsia="en-US"/>
        </w:rPr>
      </w:pPr>
      <w:r w:rsidRPr="00CA7716">
        <w:rPr>
          <w:rFonts w:asciiTheme="majorBidi" w:eastAsia="Calibri" w:hAnsiTheme="majorBidi" w:cstheme="majorBidi"/>
          <w:b/>
          <w:color w:val="FF0000"/>
          <w:sz w:val="24"/>
          <w:szCs w:val="24"/>
          <w:lang w:eastAsia="en-US"/>
        </w:rPr>
        <w:t>Uchwała Nr XXVIII/……./2021</w:t>
      </w:r>
    </w:p>
    <w:p w14:paraId="2A7F45BD" w14:textId="77777777" w:rsidR="00CA7716" w:rsidRPr="00CA7716" w:rsidRDefault="00CA7716" w:rsidP="00CA7716">
      <w:pPr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CA7716">
        <w:rPr>
          <w:rFonts w:asciiTheme="majorBidi" w:eastAsia="Times New Roman" w:hAnsiTheme="majorBidi" w:cstheme="majorBidi"/>
          <w:b/>
          <w:bCs/>
          <w:sz w:val="24"/>
          <w:szCs w:val="24"/>
        </w:rPr>
        <w:t>Walnego Zebrania Członków</w:t>
      </w:r>
    </w:p>
    <w:p w14:paraId="6FA3255F" w14:textId="77777777" w:rsidR="00CA7716" w:rsidRPr="00CA7716" w:rsidRDefault="00CA7716" w:rsidP="00CA7716">
      <w:pPr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CA7716">
        <w:rPr>
          <w:rFonts w:asciiTheme="majorBidi" w:eastAsia="Times New Roman" w:hAnsiTheme="majorBidi" w:cstheme="majorBidi"/>
          <w:b/>
          <w:bCs/>
          <w:sz w:val="24"/>
          <w:szCs w:val="24"/>
        </w:rPr>
        <w:t>Lokalnej Grupy Działania „Brynica to nie granica”</w:t>
      </w:r>
    </w:p>
    <w:p w14:paraId="60DD92D0" w14:textId="77777777" w:rsidR="00CA7716" w:rsidRPr="00CA7716" w:rsidRDefault="00CA7716" w:rsidP="00CA7716">
      <w:pPr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CA7716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z dnia 28 czerwca 2021 r. </w:t>
      </w:r>
    </w:p>
    <w:p w14:paraId="6830BCA7" w14:textId="731AD0AA" w:rsidR="00C56552" w:rsidRDefault="00C56552" w:rsidP="000E540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C408E9" w14:textId="0996B5EE" w:rsidR="00095505" w:rsidRDefault="00095505" w:rsidP="000E540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7B202D" w14:textId="77777777" w:rsidR="00095505" w:rsidRPr="00095505" w:rsidRDefault="00095505" w:rsidP="00095505">
      <w:pPr>
        <w:spacing w:after="0" w:line="360" w:lineRule="auto"/>
        <w:jc w:val="center"/>
        <w:rPr>
          <w:rFonts w:asciiTheme="majorBidi" w:eastAsia="Calibri" w:hAnsiTheme="majorBidi" w:cstheme="majorBidi"/>
          <w:sz w:val="24"/>
          <w:szCs w:val="24"/>
          <w:lang w:eastAsia="en-US"/>
        </w:rPr>
      </w:pPr>
    </w:p>
    <w:p w14:paraId="57050DBC" w14:textId="08DD5936" w:rsidR="00095505" w:rsidRDefault="00095505" w:rsidP="00095505">
      <w:pPr>
        <w:spacing w:after="0" w:line="360" w:lineRule="auto"/>
        <w:ind w:left="1276" w:hanging="127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505">
        <w:rPr>
          <w:rFonts w:asciiTheme="majorBidi" w:eastAsia="Calibri" w:hAnsiTheme="majorBidi" w:cstheme="majorBidi"/>
          <w:b/>
          <w:sz w:val="24"/>
          <w:szCs w:val="24"/>
          <w:lang w:eastAsia="en-US"/>
        </w:rPr>
        <w:t xml:space="preserve">w sprawie zmian </w:t>
      </w:r>
      <w:r>
        <w:rPr>
          <w:rFonts w:ascii="Times New Roman" w:hAnsi="Times New Roman" w:cs="Times New Roman"/>
          <w:b/>
          <w:bCs/>
          <w:sz w:val="24"/>
          <w:szCs w:val="24"/>
        </w:rPr>
        <w:t>Procedur wyboru i oceny</w:t>
      </w:r>
      <w:r w:rsidRPr="00E461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operacji własnych oraz kryteriów wyboru operacji własnych wraz z procedurą ustalania lub zmiany kryteriów w ramach Lokalnej Strategii Rozwoju </w:t>
      </w:r>
      <w:r w:rsidRPr="00E4617F">
        <w:rPr>
          <w:rFonts w:ascii="Times New Roman" w:hAnsi="Times New Roman" w:cs="Times New Roman"/>
          <w:b/>
          <w:bCs/>
          <w:sz w:val="24"/>
          <w:szCs w:val="24"/>
        </w:rPr>
        <w:t>Lokaln</w:t>
      </w:r>
      <w:r>
        <w:rPr>
          <w:rFonts w:ascii="Times New Roman" w:hAnsi="Times New Roman" w:cs="Times New Roman"/>
          <w:b/>
          <w:bCs/>
          <w:sz w:val="24"/>
          <w:szCs w:val="24"/>
        </w:rPr>
        <w:t>ej Grupy Działania „Brynica  to </w:t>
      </w:r>
      <w:r w:rsidRPr="00E4617F">
        <w:rPr>
          <w:rFonts w:ascii="Times New Roman" w:hAnsi="Times New Roman" w:cs="Times New Roman"/>
          <w:b/>
          <w:bCs/>
          <w:sz w:val="24"/>
          <w:szCs w:val="24"/>
        </w:rPr>
        <w:t>nie granica”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EB420FE" w14:textId="77777777" w:rsidR="00095505" w:rsidRPr="00095505" w:rsidRDefault="00095505" w:rsidP="00095505">
      <w:pPr>
        <w:spacing w:after="0" w:line="360" w:lineRule="auto"/>
        <w:ind w:left="1276" w:hanging="1276"/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</w:p>
    <w:p w14:paraId="77ECD89C" w14:textId="77777777" w:rsidR="00095505" w:rsidRPr="00095505" w:rsidRDefault="00095505" w:rsidP="00095505">
      <w:pPr>
        <w:spacing w:after="0" w:line="360" w:lineRule="auto"/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  <w:r w:rsidRPr="00095505">
        <w:rPr>
          <w:rFonts w:asciiTheme="majorBidi" w:eastAsia="Calibri" w:hAnsiTheme="majorBidi" w:cstheme="majorBidi"/>
          <w:color w:val="000000"/>
          <w:sz w:val="24"/>
          <w:szCs w:val="24"/>
          <w:lang w:eastAsia="en-US"/>
        </w:rPr>
        <w:t xml:space="preserve">Na podstawie § 16 ust. 2 pkt. „a”  Statutu Lokalnej  Grupy Działania  „Brynica to nie granica” </w:t>
      </w:r>
      <w:r w:rsidRPr="00095505">
        <w:rPr>
          <w:rFonts w:asciiTheme="majorBidi" w:eastAsia="Calibri" w:hAnsiTheme="majorBidi" w:cstheme="majorBidi"/>
          <w:color w:val="000000"/>
          <w:sz w:val="24"/>
          <w:szCs w:val="24"/>
          <w:lang w:eastAsia="en-US"/>
        </w:rPr>
        <w:br/>
      </w:r>
    </w:p>
    <w:p w14:paraId="543EC76A" w14:textId="77777777" w:rsidR="00095505" w:rsidRPr="00095505" w:rsidRDefault="00095505" w:rsidP="00095505">
      <w:pPr>
        <w:spacing w:after="0" w:line="360" w:lineRule="auto"/>
        <w:jc w:val="center"/>
        <w:rPr>
          <w:rFonts w:asciiTheme="majorBidi" w:eastAsia="Calibri" w:hAnsiTheme="majorBidi" w:cstheme="majorBidi"/>
          <w:b/>
          <w:spacing w:val="42"/>
          <w:sz w:val="24"/>
          <w:szCs w:val="24"/>
          <w:lang w:eastAsia="en-US"/>
        </w:rPr>
      </w:pPr>
      <w:r w:rsidRPr="00095505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Walne Zebranie Członków</w:t>
      </w:r>
      <w:r w:rsidRPr="00095505">
        <w:rPr>
          <w:rFonts w:asciiTheme="majorBidi" w:eastAsia="Calibri" w:hAnsiTheme="majorBidi" w:cstheme="majorBidi"/>
          <w:b/>
          <w:spacing w:val="42"/>
          <w:sz w:val="24"/>
          <w:szCs w:val="24"/>
          <w:lang w:eastAsia="en-US"/>
        </w:rPr>
        <w:t xml:space="preserve"> </w:t>
      </w:r>
    </w:p>
    <w:p w14:paraId="07751955" w14:textId="77777777" w:rsidR="00095505" w:rsidRPr="00095505" w:rsidRDefault="00095505" w:rsidP="00095505">
      <w:pPr>
        <w:spacing w:after="0" w:line="360" w:lineRule="auto"/>
        <w:jc w:val="center"/>
        <w:rPr>
          <w:rFonts w:asciiTheme="majorBidi" w:eastAsia="Calibri" w:hAnsiTheme="majorBidi" w:cstheme="majorBidi"/>
          <w:b/>
          <w:spacing w:val="42"/>
          <w:sz w:val="24"/>
          <w:szCs w:val="24"/>
          <w:lang w:eastAsia="en-US"/>
        </w:rPr>
      </w:pPr>
      <w:r w:rsidRPr="00095505">
        <w:rPr>
          <w:rFonts w:asciiTheme="majorBidi" w:eastAsia="Calibri" w:hAnsiTheme="majorBidi" w:cstheme="majorBidi"/>
          <w:b/>
          <w:spacing w:val="42"/>
          <w:sz w:val="24"/>
          <w:szCs w:val="24"/>
          <w:lang w:eastAsia="en-US"/>
        </w:rPr>
        <w:t>uchwala</w:t>
      </w:r>
      <w:r w:rsidRPr="00095505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:</w:t>
      </w:r>
    </w:p>
    <w:p w14:paraId="325993F8" w14:textId="77777777" w:rsidR="00095505" w:rsidRPr="00095505" w:rsidRDefault="00095505" w:rsidP="00095505">
      <w:pPr>
        <w:spacing w:after="0" w:line="360" w:lineRule="auto"/>
        <w:jc w:val="center"/>
        <w:rPr>
          <w:rFonts w:asciiTheme="majorBidi" w:eastAsia="Calibri" w:hAnsiTheme="majorBidi" w:cstheme="majorBidi"/>
          <w:b/>
          <w:spacing w:val="42"/>
          <w:sz w:val="24"/>
          <w:szCs w:val="24"/>
          <w:lang w:eastAsia="en-US"/>
        </w:rPr>
      </w:pPr>
    </w:p>
    <w:p w14:paraId="318E4C83" w14:textId="77777777" w:rsidR="00095505" w:rsidRPr="00095505" w:rsidRDefault="00095505" w:rsidP="00095505">
      <w:pPr>
        <w:spacing w:after="0" w:line="360" w:lineRule="auto"/>
        <w:jc w:val="center"/>
        <w:rPr>
          <w:rFonts w:asciiTheme="majorBidi" w:eastAsia="Calibri" w:hAnsiTheme="majorBidi" w:cstheme="majorBidi"/>
          <w:b/>
          <w:spacing w:val="42"/>
          <w:sz w:val="24"/>
          <w:szCs w:val="24"/>
          <w:lang w:eastAsia="en-US"/>
        </w:rPr>
      </w:pPr>
      <w:r w:rsidRPr="00095505">
        <w:rPr>
          <w:rFonts w:asciiTheme="majorBidi" w:eastAsia="Calibri" w:hAnsiTheme="majorBidi" w:cstheme="majorBidi"/>
          <w:b/>
          <w:sz w:val="24"/>
          <w:szCs w:val="24"/>
          <w:lang w:eastAsia="en-US"/>
        </w:rPr>
        <w:t xml:space="preserve">§ </w:t>
      </w:r>
      <w:r w:rsidRPr="00095505">
        <w:rPr>
          <w:rFonts w:asciiTheme="majorBidi" w:eastAsia="Calibri" w:hAnsiTheme="majorBidi" w:cstheme="majorBidi"/>
          <w:b/>
          <w:spacing w:val="42"/>
          <w:sz w:val="24"/>
          <w:szCs w:val="24"/>
          <w:lang w:eastAsia="en-US"/>
        </w:rPr>
        <w:t>1</w:t>
      </w:r>
    </w:p>
    <w:p w14:paraId="3B1A1901" w14:textId="77777777" w:rsidR="00095505" w:rsidRPr="00095505" w:rsidRDefault="00095505" w:rsidP="00095505">
      <w:pPr>
        <w:spacing w:after="0" w:line="360" w:lineRule="auto"/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095505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Dokonać zmian w Kryteriach wyboru </w:t>
      </w:r>
      <w:proofErr w:type="spellStart"/>
      <w:r w:rsidRPr="00095505">
        <w:rPr>
          <w:rFonts w:asciiTheme="majorBidi" w:eastAsia="Calibri" w:hAnsiTheme="majorBidi" w:cstheme="majorBidi"/>
          <w:sz w:val="24"/>
          <w:szCs w:val="24"/>
          <w:lang w:eastAsia="en-US"/>
        </w:rPr>
        <w:t>grantobiorców</w:t>
      </w:r>
      <w:proofErr w:type="spellEnd"/>
      <w:r w:rsidRPr="00095505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 wraz z procedurą ustalania lub zmiany kryteriów w ramach projektu grantowego realizowanego w ramach Lokalnej Strategii Rozwoju Lokalnej Grupy Działania „Brynica to nie granica”, w następujący sposób:</w:t>
      </w:r>
    </w:p>
    <w:p w14:paraId="62FC4137" w14:textId="77777777" w:rsidR="000F30B2" w:rsidRPr="000F30B2" w:rsidRDefault="000F30B2" w:rsidP="000F30B2">
      <w:pPr>
        <w:pStyle w:val="Bezodstpw"/>
        <w:numPr>
          <w:ilvl w:val="0"/>
          <w:numId w:val="21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95F89">
        <w:rPr>
          <w:rFonts w:ascii="Times New Roman" w:hAnsi="Times New Roman"/>
          <w:sz w:val="24"/>
          <w:szCs w:val="24"/>
        </w:rPr>
        <w:t xml:space="preserve">We wprowadzeniu w akapicie 4 przed nazwą rozporządzenia w sprawie szczegółowych </w:t>
      </w:r>
      <w:r w:rsidRPr="000F30B2">
        <w:rPr>
          <w:rFonts w:ascii="Times New Roman" w:hAnsi="Times New Roman"/>
          <w:sz w:val="24"/>
          <w:szCs w:val="24"/>
        </w:rPr>
        <w:t xml:space="preserve">warunków i trybu przyznawania pomocy finansowej w ramach poddziałania „Wsparcie na wdrażanie operacji w ramach strategii rozwoju lokalnego kierowanego przez społeczność” objętego Programem Rozwoju Obszarów Wiejskich na lata 2014 -2020 dodaje się „z dnia 24 września 2015 r.”, a za nazwą tego rozporządzenia w nawiasie przed wyrażeniem „z </w:t>
      </w:r>
      <w:proofErr w:type="spellStart"/>
      <w:r w:rsidRPr="000F30B2">
        <w:rPr>
          <w:rFonts w:ascii="Times New Roman" w:hAnsi="Times New Roman"/>
          <w:sz w:val="24"/>
          <w:szCs w:val="24"/>
        </w:rPr>
        <w:t>późn</w:t>
      </w:r>
      <w:proofErr w:type="spellEnd"/>
      <w:r w:rsidRPr="000F30B2">
        <w:rPr>
          <w:rFonts w:ascii="Times New Roman" w:hAnsi="Times New Roman"/>
          <w:sz w:val="24"/>
          <w:szCs w:val="24"/>
        </w:rPr>
        <w:t>. zm.” dodaje się „</w:t>
      </w:r>
      <w:proofErr w:type="spellStart"/>
      <w:r w:rsidRPr="000F30B2">
        <w:rPr>
          <w:rFonts w:ascii="Times New Roman" w:hAnsi="Times New Roman"/>
          <w:sz w:val="24"/>
          <w:szCs w:val="24"/>
        </w:rPr>
        <w:t>t.j</w:t>
      </w:r>
      <w:proofErr w:type="spellEnd"/>
      <w:r w:rsidRPr="000F30B2">
        <w:rPr>
          <w:rFonts w:ascii="Times New Roman" w:hAnsi="Times New Roman"/>
          <w:sz w:val="24"/>
          <w:szCs w:val="24"/>
        </w:rPr>
        <w:t>. Dz. U. z 2019 r. poz. 664,”.</w:t>
      </w:r>
    </w:p>
    <w:p w14:paraId="025ECA54" w14:textId="77777777" w:rsidR="000F30B2" w:rsidRPr="000F30B2" w:rsidRDefault="000F30B2" w:rsidP="000F30B2">
      <w:pPr>
        <w:pStyle w:val="Bezodstpw"/>
        <w:numPr>
          <w:ilvl w:val="0"/>
          <w:numId w:val="21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F30B2">
        <w:rPr>
          <w:rFonts w:ascii="Times New Roman" w:hAnsi="Times New Roman"/>
          <w:sz w:val="24"/>
          <w:szCs w:val="24"/>
        </w:rPr>
        <w:t>W słowniczku, w pkt 17, za nazwą rozporządzenia w sprawie szczegółowych warunków i trybu przyznawania pomocy finansowej w ramach poddziałania „Wsparcie na wdrażanie operacji w ramach strategii rozwoju lokalnego kierowanego przez społeczność” objętego Programem Rozwoju</w:t>
      </w:r>
      <w:r w:rsidRPr="00695F89">
        <w:rPr>
          <w:rFonts w:ascii="Times New Roman" w:hAnsi="Times New Roman"/>
          <w:sz w:val="24"/>
          <w:szCs w:val="24"/>
        </w:rPr>
        <w:t xml:space="preserve"> </w:t>
      </w:r>
      <w:r w:rsidRPr="000F30B2">
        <w:rPr>
          <w:rFonts w:ascii="Times New Roman" w:hAnsi="Times New Roman"/>
          <w:sz w:val="24"/>
          <w:szCs w:val="24"/>
        </w:rPr>
        <w:t xml:space="preserve">Obszarów Wiejskich na lata 2014-2020 dodaje się w nawiasie przed wyrażeniem „z </w:t>
      </w:r>
      <w:proofErr w:type="spellStart"/>
      <w:r w:rsidRPr="000F30B2">
        <w:rPr>
          <w:rFonts w:ascii="Times New Roman" w:hAnsi="Times New Roman"/>
          <w:sz w:val="24"/>
          <w:szCs w:val="24"/>
        </w:rPr>
        <w:t>późn</w:t>
      </w:r>
      <w:proofErr w:type="spellEnd"/>
      <w:r w:rsidRPr="000F30B2">
        <w:rPr>
          <w:rFonts w:ascii="Times New Roman" w:hAnsi="Times New Roman"/>
          <w:sz w:val="24"/>
          <w:szCs w:val="24"/>
        </w:rPr>
        <w:t>. zm.” dodaje się „</w:t>
      </w:r>
      <w:proofErr w:type="spellStart"/>
      <w:r w:rsidRPr="000F30B2">
        <w:rPr>
          <w:rFonts w:ascii="Times New Roman" w:hAnsi="Times New Roman"/>
          <w:sz w:val="24"/>
          <w:szCs w:val="24"/>
        </w:rPr>
        <w:t>t.j</w:t>
      </w:r>
      <w:proofErr w:type="spellEnd"/>
      <w:r w:rsidRPr="000F30B2">
        <w:rPr>
          <w:rFonts w:ascii="Times New Roman" w:hAnsi="Times New Roman"/>
          <w:sz w:val="24"/>
          <w:szCs w:val="24"/>
        </w:rPr>
        <w:t>. Dz. U. z 2019 r. poz. 664,”.</w:t>
      </w:r>
    </w:p>
    <w:p w14:paraId="0984A8D9" w14:textId="77777777" w:rsidR="000F30B2" w:rsidRPr="000F30B2" w:rsidRDefault="000F30B2" w:rsidP="000F30B2">
      <w:pPr>
        <w:pStyle w:val="Bezodstpw"/>
        <w:numPr>
          <w:ilvl w:val="0"/>
          <w:numId w:val="21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F30B2">
        <w:rPr>
          <w:rFonts w:ascii="Times New Roman" w:hAnsi="Times New Roman"/>
          <w:sz w:val="24"/>
          <w:szCs w:val="24"/>
        </w:rPr>
        <w:lastRenderedPageBreak/>
        <w:t>W słowniczku w pkt. 18 nr wytycznych „6/4/2017” zastępuje się nr „7/1/2020”.</w:t>
      </w:r>
    </w:p>
    <w:p w14:paraId="414E4661" w14:textId="77777777" w:rsidR="000F30B2" w:rsidRPr="000F30B2" w:rsidRDefault="000F30B2" w:rsidP="000F30B2">
      <w:pPr>
        <w:pStyle w:val="Bezodstpw"/>
        <w:numPr>
          <w:ilvl w:val="0"/>
          <w:numId w:val="21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F30B2">
        <w:rPr>
          <w:rFonts w:ascii="Times New Roman" w:hAnsi="Times New Roman"/>
          <w:sz w:val="24"/>
          <w:szCs w:val="24"/>
        </w:rPr>
        <w:t>W rozdziale II.5:</w:t>
      </w:r>
    </w:p>
    <w:p w14:paraId="72EED4E3" w14:textId="77777777" w:rsidR="000F30B2" w:rsidRPr="000F30B2" w:rsidRDefault="000F30B2" w:rsidP="000F30B2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F30B2">
        <w:rPr>
          <w:rFonts w:ascii="Times New Roman" w:hAnsi="Times New Roman"/>
          <w:sz w:val="24"/>
          <w:szCs w:val="24"/>
        </w:rPr>
        <w:t>W pkt. 1 za wyrażenie „30 dni od” dodaje się wyrażenie „dnia”;</w:t>
      </w:r>
    </w:p>
    <w:p w14:paraId="4F69FB54" w14:textId="77777777" w:rsidR="000F30B2" w:rsidRPr="000F30B2" w:rsidRDefault="000F30B2" w:rsidP="000F30B2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F30B2">
        <w:rPr>
          <w:rFonts w:ascii="Times New Roman" w:hAnsi="Times New Roman"/>
          <w:sz w:val="24"/>
          <w:szCs w:val="24"/>
        </w:rPr>
        <w:t xml:space="preserve">W pkt 17, na końcu opisu dodaje się zdanie „Zgodnie z </w:t>
      </w:r>
      <w:r w:rsidRPr="000F30B2">
        <w:rPr>
          <w:rFonts w:ascii="Times New Roman" w:eastAsia="TimesNewRoman" w:hAnsi="Times New Roman"/>
          <w:sz w:val="24"/>
          <w:szCs w:val="24"/>
        </w:rPr>
        <w:t xml:space="preserve">art. 37 ust. 6 Ustawy z dnia 11 lipca 2014 </w:t>
      </w:r>
      <w:r w:rsidRPr="000F30B2">
        <w:rPr>
          <w:rFonts w:ascii="Times New Roman" w:hAnsi="Times New Roman"/>
          <w:bCs/>
          <w:sz w:val="24"/>
          <w:szCs w:val="24"/>
        </w:rPr>
        <w:t>o zasadach realizacji programów w zakresie polityki spójności finansowanych w perspektywie finansowej 2014–2020 d</w:t>
      </w:r>
      <w:r w:rsidRPr="000F30B2">
        <w:rPr>
          <w:rFonts w:ascii="Times New Roman" w:eastAsia="TimesNewRoman" w:hAnsi="Times New Roman"/>
          <w:sz w:val="24"/>
          <w:szCs w:val="24"/>
        </w:rPr>
        <w:t>okumenty i informacje przedstawiane przez wnioskodawców nie podlegają udostępnieniu przez LGD w trybie przepisów ustawy z dnia 6 września 2001 r. o dostępie do informacji publicznej.”</w:t>
      </w:r>
    </w:p>
    <w:p w14:paraId="7081D794" w14:textId="77777777" w:rsidR="000F30B2" w:rsidRPr="004D285E" w:rsidRDefault="00095505" w:rsidP="000F30B2">
      <w:pPr>
        <w:pStyle w:val="Akapitzlist"/>
        <w:numPr>
          <w:ilvl w:val="0"/>
          <w:numId w:val="21"/>
        </w:numPr>
        <w:spacing w:after="0" w:line="36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30B2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W Rozdziale III. „WZORY DOKUMENTÓW STANOWIĄCYCH ZAŁĄCZNIKI DO PROCEDUR </w:t>
      </w:r>
      <w:bookmarkStart w:id="0" w:name="_GoBack"/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>KONKURSOWYCH”</w:t>
      </w:r>
      <w:r w:rsidR="000F30B2"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6FCF6E8F" w14:textId="51BEE90B" w:rsidR="000F30B2" w:rsidRPr="004D285E" w:rsidRDefault="000F30B2" w:rsidP="000F30B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we wzorze nr. </w:t>
      </w: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Karta </w:t>
      </w:r>
      <w:r w:rsidRPr="004D285E">
        <w:rPr>
          <w:rFonts w:ascii="Times New Roman" w:hAnsi="Times New Roman" w:cs="Times New Roman"/>
          <w:sz w:val="24"/>
          <w:szCs w:val="24"/>
        </w:rPr>
        <w:t>weryfikacji podmiotu zgłaszającego zamiar realizacji operacji</w:t>
      </w:r>
      <w:r w:rsidR="00C25391" w:rsidRPr="004D285E">
        <w:rPr>
          <w:rFonts w:ascii="Times New Roman" w:hAnsi="Times New Roman" w:cs="Times New Roman"/>
          <w:sz w:val="24"/>
          <w:szCs w:val="24"/>
        </w:rPr>
        <w:t>:</w:t>
      </w:r>
      <w:r w:rsidRPr="004D28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C5353F" w14:textId="7CE6DB17" w:rsidR="000F30B2" w:rsidRPr="004D285E" w:rsidRDefault="000F30B2" w:rsidP="000F30B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85E">
        <w:rPr>
          <w:rFonts w:ascii="Times New Roman" w:hAnsi="Times New Roman" w:cs="Times New Roman"/>
          <w:sz w:val="24"/>
          <w:szCs w:val="24"/>
        </w:rPr>
        <w:t>wyrażenie „o swobodzie działalności gospodarcze” zastępuje się wyrażeniem Prawo przedsiębiorców”;</w:t>
      </w:r>
    </w:p>
    <w:p w14:paraId="076305EC" w14:textId="07291C1E" w:rsidR="000F30B2" w:rsidRPr="004D285E" w:rsidRDefault="000F30B2" w:rsidP="000F30B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przypis nr 2 otrzymuje brzmienie „ustawa z dnia </w:t>
      </w:r>
      <w:r w:rsidRPr="004D285E">
        <w:rPr>
          <w:rFonts w:ascii="Times New Roman" w:hAnsi="Times New Roman" w:cs="Times New Roman"/>
          <w:sz w:val="24"/>
          <w:szCs w:val="24"/>
        </w:rPr>
        <w:t>6 marca 2018 r. Prawo przedsiębiorców (</w:t>
      </w:r>
      <w:proofErr w:type="spellStart"/>
      <w:r w:rsidRPr="004D285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4D285E">
        <w:rPr>
          <w:rFonts w:ascii="Times New Roman" w:hAnsi="Times New Roman" w:cs="Times New Roman"/>
          <w:sz w:val="24"/>
          <w:szCs w:val="24"/>
        </w:rPr>
        <w:t>. Dz. U. z 2021 r. poz. 162)</w:t>
      </w:r>
      <w:r w:rsidRPr="004D285E">
        <w:rPr>
          <w:rFonts w:ascii="Times New Roman" w:hAnsi="Times New Roman" w:cs="Times New Roman"/>
          <w:sz w:val="24"/>
          <w:szCs w:val="24"/>
        </w:rPr>
        <w:t>”</w:t>
      </w:r>
    </w:p>
    <w:p w14:paraId="084A4748" w14:textId="3C408D32" w:rsidR="00C25391" w:rsidRPr="004D285E" w:rsidRDefault="00C25391" w:rsidP="00C2539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we wzorze nr. </w:t>
      </w: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</w:t>
      </w:r>
      <w:r w:rsidRPr="004D285E">
        <w:rPr>
          <w:rFonts w:ascii="Times New Roman" w:hAnsi="Times New Roman" w:cs="Times New Roman"/>
          <w:sz w:val="24"/>
          <w:szCs w:val="24"/>
        </w:rPr>
        <w:t>Karta oceny zgodności operacji z LSR</w:t>
      </w:r>
      <w:r w:rsidRPr="004D285E">
        <w:rPr>
          <w:rFonts w:ascii="Times New Roman" w:hAnsi="Times New Roman" w:cs="Times New Roman"/>
          <w:sz w:val="24"/>
          <w:szCs w:val="24"/>
        </w:rPr>
        <w:t>:</w:t>
      </w:r>
    </w:p>
    <w:p w14:paraId="249D4F01" w14:textId="77777777" w:rsidR="00C25391" w:rsidRPr="004D285E" w:rsidRDefault="00C25391" w:rsidP="00C25391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85E">
        <w:rPr>
          <w:rFonts w:ascii="Times New Roman" w:hAnsi="Times New Roman" w:cs="Times New Roman"/>
          <w:sz w:val="24"/>
          <w:szCs w:val="24"/>
        </w:rPr>
        <w:t>wyrażenie „o swobodzie działalności gospodarcze” zastępuje się wyrażeniem Prawo przedsiębiorców”;</w:t>
      </w:r>
    </w:p>
    <w:p w14:paraId="23FF3BFD" w14:textId="164B6AE5" w:rsidR="00C25391" w:rsidRPr="004D285E" w:rsidRDefault="00C25391" w:rsidP="00C25391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wiersz VIII.2. otrzymuje brzmienie: </w:t>
      </w:r>
      <w:r w:rsidRPr="004D285E">
        <w:rPr>
          <w:rFonts w:ascii="Times New Roman" w:hAnsi="Times New Roman" w:cs="Times New Roman"/>
          <w:sz w:val="24"/>
          <w:szCs w:val="24"/>
        </w:rPr>
        <w:t>Wnioskodawca w okresie 3 miesięcy poprzedzających dzień złożenia wniosku o przyznanie tej pomocy nie wykonywał działalności gospodarczej, do której stosuje się przepisy ustawy o swobodzie działalności gospodarczej Prawo przedsiębiorców</w:t>
      </w:r>
      <w:r w:rsidRPr="004D285E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5CC49A8" w14:textId="5D4F26C6" w:rsidR="00C25391" w:rsidRPr="004D285E" w:rsidRDefault="00C25391" w:rsidP="00C25391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>wiersz VIII.</w:t>
      </w: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otrzymuje brzmienie: </w:t>
      </w:r>
      <w:r w:rsidRPr="004D285E">
        <w:rPr>
          <w:rFonts w:ascii="Times New Roman" w:hAnsi="Times New Roman" w:cs="Times New Roman"/>
          <w:sz w:val="24"/>
          <w:szCs w:val="24"/>
        </w:rPr>
        <w:t>Operacja zakłada podjęcie we własnym imieniu działalności gospodarczej, do której stosuje się przepisy Prawo przedsiębiorców</w:t>
      </w:r>
      <w:r w:rsidRPr="004D285E">
        <w:rPr>
          <w:rFonts w:ascii="Times New Roman" w:hAnsi="Times New Roman" w:cs="Times New Roman"/>
          <w:sz w:val="24"/>
          <w:szCs w:val="24"/>
          <w:vertAlign w:val="superscript"/>
        </w:rPr>
        <w:t xml:space="preserve"> 2</w:t>
      </w:r>
    </w:p>
    <w:p w14:paraId="795A637A" w14:textId="408F6C45" w:rsidR="00C25391" w:rsidRPr="004D285E" w:rsidRDefault="00C25391" w:rsidP="00C25391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wiersz </w:t>
      </w: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>VIII.5</w:t>
      </w: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>. otrzymuje brzmienie:</w:t>
      </w:r>
      <w:r w:rsidRPr="004D285E">
        <w:rPr>
          <w:rFonts w:ascii="Times New Roman" w:hAnsi="Times New Roman" w:cs="Times New Roman"/>
          <w:sz w:val="24"/>
          <w:szCs w:val="24"/>
        </w:rPr>
        <w:t xml:space="preserve"> </w:t>
      </w:r>
      <w:r w:rsidRPr="004D285E">
        <w:rPr>
          <w:rFonts w:ascii="Times New Roman" w:hAnsi="Times New Roman" w:cs="Times New Roman"/>
          <w:sz w:val="24"/>
          <w:szCs w:val="24"/>
        </w:rPr>
        <w:t>Operacja zakłada zgłoszenie Wnioskodawcy do ubezpieczenia emerytalnego, ubezpieczeń rentowych i ubezpieczenia wypadkowego na podstawie przepisów o systemie ubezpieczeń społecznych z tytułu wykonywania tej działalności, lub</w:t>
      </w:r>
    </w:p>
    <w:p w14:paraId="3E14BD33" w14:textId="593973F3" w:rsidR="00C25391" w:rsidRPr="004D285E" w:rsidRDefault="00C25391" w:rsidP="00C25391">
      <w:pPr>
        <w:pStyle w:val="Akapitzlist"/>
        <w:spacing w:after="0" w:line="360" w:lineRule="auto"/>
        <w:ind w:left="164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85E">
        <w:rPr>
          <w:rFonts w:ascii="Times New Roman" w:hAnsi="Times New Roman" w:cs="Times New Roman"/>
          <w:sz w:val="24"/>
          <w:szCs w:val="24"/>
        </w:rPr>
        <w:t>utworzenie co najmniej jednego miejsca pracy w przeliczeniu na pełne etaty średnioroczne, gdy jest to uzasadnione zakresem realizacji operacji, zatrudnienie osoby, dla której zostanie utworzone to miejsce pracy, na podstawie umowy o pracę</w:t>
      </w:r>
    </w:p>
    <w:p w14:paraId="0C5A1B1A" w14:textId="4C29F273" w:rsidR="00C25391" w:rsidRPr="004D285E" w:rsidRDefault="00C25391" w:rsidP="00C25391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przypis </w:t>
      </w:r>
      <w:r w:rsidR="004D285E"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nr </w:t>
      </w: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>2. otrzymuje brzmienie:</w:t>
      </w:r>
      <w:r w:rsidRPr="004D285E">
        <w:rPr>
          <w:rFonts w:ascii="Times New Roman" w:hAnsi="Times New Roman" w:cs="Times New Roman"/>
          <w:sz w:val="24"/>
          <w:szCs w:val="24"/>
        </w:rPr>
        <w:t xml:space="preserve"> </w:t>
      </w:r>
      <w:r w:rsidRPr="004D285E">
        <w:rPr>
          <w:rFonts w:ascii="Times New Roman" w:hAnsi="Times New Roman" w:cs="Times New Roman"/>
          <w:sz w:val="24"/>
          <w:szCs w:val="24"/>
        </w:rPr>
        <w:t>Ustawa z dnia  6 marca 2018 r. Prawo przedsiębiorców (</w:t>
      </w:r>
      <w:proofErr w:type="spellStart"/>
      <w:r w:rsidRPr="004D285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4D285E">
        <w:rPr>
          <w:rFonts w:ascii="Times New Roman" w:hAnsi="Times New Roman" w:cs="Times New Roman"/>
          <w:sz w:val="24"/>
          <w:szCs w:val="24"/>
        </w:rPr>
        <w:t>. Dz. U. z 2021 r. poz. 162)</w:t>
      </w:r>
    </w:p>
    <w:p w14:paraId="2457AE3C" w14:textId="29B8E81D" w:rsidR="00C25391" w:rsidRPr="004D285E" w:rsidRDefault="00C25391" w:rsidP="00C25391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>skreśla się wiersz X.3</w:t>
      </w:r>
    </w:p>
    <w:p w14:paraId="75DCAB84" w14:textId="71F0CA78" w:rsidR="00095505" w:rsidRPr="004D285E" w:rsidRDefault="00095505" w:rsidP="000F30B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85E">
        <w:rPr>
          <w:rFonts w:ascii="Times New Roman" w:eastAsia="Calibri" w:hAnsi="Times New Roman" w:cs="Times New Roman"/>
          <w:sz w:val="24"/>
          <w:szCs w:val="24"/>
          <w:lang w:eastAsia="en-US"/>
        </w:rPr>
        <w:t>we wzorze nr. 13.  Karta oceny operacji wg. lokalnych kryteriów wyboru – dla celu ogólnego Wzmocnienie kapitału społecznego w kształtowaniu i rozwoju obszaru LGD:</w:t>
      </w:r>
      <w:bookmarkStart w:id="1" w:name="_Hlk74222849"/>
    </w:p>
    <w:p w14:paraId="6B164405" w14:textId="14D9F4E0" w:rsidR="00095505" w:rsidRPr="004D285E" w:rsidRDefault="00095505" w:rsidP="00095505">
      <w:pPr>
        <w:pStyle w:val="Akapitzlist"/>
        <w:numPr>
          <w:ilvl w:val="0"/>
          <w:numId w:val="15"/>
        </w:numPr>
        <w:spacing w:after="0" w:line="36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85E">
        <w:rPr>
          <w:rFonts w:ascii="Times New Roman" w:hAnsi="Times New Roman" w:cs="Times New Roman"/>
          <w:sz w:val="24"/>
          <w:szCs w:val="24"/>
        </w:rPr>
        <w:t>skreśla się wiersz numer 1.8 „Okres realizacji operacji do jednego roku od dnia zawarcia umowy o dofinansowanie”</w:t>
      </w:r>
      <w:r w:rsidR="00FF4789" w:rsidRPr="004D285E">
        <w:rPr>
          <w:rFonts w:ascii="Times New Roman" w:hAnsi="Times New Roman" w:cs="Times New Roman"/>
          <w:sz w:val="24"/>
          <w:szCs w:val="24"/>
        </w:rPr>
        <w:t>,</w:t>
      </w:r>
    </w:p>
    <w:p w14:paraId="561E6219" w14:textId="643EB02B" w:rsidR="00C20081" w:rsidRDefault="00FF4789" w:rsidP="00C20081">
      <w:pPr>
        <w:pStyle w:val="Akapitzlist"/>
        <w:numPr>
          <w:ilvl w:val="0"/>
          <w:numId w:val="15"/>
        </w:numPr>
        <w:spacing w:after="0" w:line="360" w:lineRule="auto"/>
        <w:ind w:left="851" w:hanging="284"/>
        <w:jc w:val="both"/>
        <w:rPr>
          <w:rFonts w:asciiTheme="majorBidi" w:hAnsiTheme="majorBidi" w:cstheme="majorBidi"/>
          <w:sz w:val="24"/>
          <w:szCs w:val="24"/>
        </w:rPr>
      </w:pPr>
      <w:r w:rsidRPr="004D285E">
        <w:rPr>
          <w:rFonts w:ascii="Times New Roman" w:hAnsi="Times New Roman" w:cs="Times New Roman"/>
          <w:sz w:val="24"/>
          <w:szCs w:val="24"/>
        </w:rPr>
        <w:t xml:space="preserve">w instrukcji wypełniania karty: </w:t>
      </w:r>
      <w:proofErr w:type="spellStart"/>
      <w:r w:rsidRPr="004D285E">
        <w:rPr>
          <w:rFonts w:ascii="Times New Roman" w:hAnsi="Times New Roman" w:cs="Times New Roman"/>
          <w:sz w:val="24"/>
          <w:szCs w:val="24"/>
        </w:rPr>
        <w:t>tiret</w:t>
      </w:r>
      <w:proofErr w:type="spellEnd"/>
      <w:r w:rsidRPr="004D285E">
        <w:rPr>
          <w:rFonts w:ascii="Times New Roman" w:hAnsi="Times New Roman" w:cs="Times New Roman"/>
          <w:sz w:val="24"/>
          <w:szCs w:val="24"/>
        </w:rPr>
        <w:t xml:space="preserve"> 5</w:t>
      </w:r>
      <w:r w:rsidRPr="00FF4789">
        <w:rPr>
          <w:rFonts w:asciiTheme="majorBidi" w:hAnsiTheme="majorBidi" w:cstheme="majorBidi"/>
          <w:sz w:val="24"/>
          <w:szCs w:val="24"/>
        </w:rPr>
        <w:t xml:space="preserve"> </w:t>
      </w:r>
      <w:bookmarkEnd w:id="0"/>
      <w:r w:rsidRPr="00FF4789">
        <w:rPr>
          <w:rFonts w:asciiTheme="majorBidi" w:hAnsiTheme="majorBidi" w:cstheme="majorBidi"/>
          <w:sz w:val="24"/>
          <w:szCs w:val="24"/>
        </w:rPr>
        <w:t xml:space="preserve">„W punktach od 1.1 do  1.8 należy wpisać przyznaną liczbę punktów”, otrzymuje brzmienie: „W punktach od 1.1 do  1.7 należy wpisać przyznaną liczbę punktów”. </w:t>
      </w:r>
    </w:p>
    <w:p w14:paraId="7B499A19" w14:textId="77777777" w:rsidR="00C20081" w:rsidRDefault="00C20081" w:rsidP="000F30B2">
      <w:pPr>
        <w:pStyle w:val="Akapitzlist"/>
        <w:numPr>
          <w:ilvl w:val="0"/>
          <w:numId w:val="23"/>
        </w:numPr>
        <w:spacing w:after="0"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 w:rsidRPr="00C20081">
        <w:rPr>
          <w:rFonts w:asciiTheme="majorBidi" w:hAnsiTheme="majorBidi" w:cstheme="majorBidi"/>
          <w:sz w:val="24"/>
          <w:szCs w:val="24"/>
        </w:rPr>
        <w:t xml:space="preserve">W Rozdziale IV. </w:t>
      </w:r>
      <w:r>
        <w:rPr>
          <w:rFonts w:asciiTheme="majorBidi" w:hAnsiTheme="majorBidi" w:cstheme="majorBidi"/>
          <w:sz w:val="24"/>
          <w:szCs w:val="24"/>
        </w:rPr>
        <w:t>„</w:t>
      </w:r>
      <w:r w:rsidRPr="00C20081">
        <w:rPr>
          <w:rFonts w:asciiTheme="majorBidi" w:hAnsiTheme="majorBidi" w:cstheme="majorBidi"/>
          <w:sz w:val="24"/>
          <w:szCs w:val="24"/>
        </w:rPr>
        <w:t>Lokalne kryteria wyboru operacji</w:t>
      </w:r>
      <w:r>
        <w:rPr>
          <w:rFonts w:asciiTheme="majorBidi" w:hAnsiTheme="majorBidi" w:cstheme="majorBidi"/>
          <w:sz w:val="24"/>
          <w:szCs w:val="24"/>
        </w:rPr>
        <w:t>”:</w:t>
      </w:r>
    </w:p>
    <w:p w14:paraId="7CD1A812" w14:textId="3E72BFF8" w:rsidR="00C20081" w:rsidRDefault="00C20081" w:rsidP="00C20081">
      <w:pPr>
        <w:pStyle w:val="Akapitzlist"/>
        <w:numPr>
          <w:ilvl w:val="0"/>
          <w:numId w:val="16"/>
        </w:numPr>
        <w:spacing w:after="0" w:line="360" w:lineRule="auto"/>
        <w:ind w:left="851" w:hanging="284"/>
        <w:jc w:val="both"/>
        <w:rPr>
          <w:rFonts w:asciiTheme="majorBidi" w:hAnsiTheme="majorBidi" w:cstheme="majorBidi"/>
          <w:sz w:val="24"/>
          <w:szCs w:val="24"/>
        </w:rPr>
      </w:pPr>
      <w:r w:rsidRPr="00C20081">
        <w:rPr>
          <w:rFonts w:asciiTheme="majorBidi" w:hAnsiTheme="majorBidi" w:cstheme="majorBidi"/>
          <w:sz w:val="24"/>
          <w:szCs w:val="24"/>
        </w:rPr>
        <w:t>w akapicie drugim wyk</w:t>
      </w:r>
      <w:r>
        <w:rPr>
          <w:rFonts w:asciiTheme="majorBidi" w:hAnsiTheme="majorBidi" w:cstheme="majorBidi"/>
          <w:sz w:val="24"/>
          <w:szCs w:val="24"/>
        </w:rPr>
        <w:t>r</w:t>
      </w:r>
      <w:r w:rsidRPr="00C20081">
        <w:rPr>
          <w:rFonts w:asciiTheme="majorBidi" w:hAnsiTheme="majorBidi" w:cstheme="majorBidi"/>
          <w:sz w:val="24"/>
          <w:szCs w:val="24"/>
        </w:rPr>
        <w:t xml:space="preserve">eśla się kryterium „Okres realizacji operacji do jednego roku </w:t>
      </w:r>
      <w:r w:rsidR="00D14E1A">
        <w:rPr>
          <w:rFonts w:asciiTheme="majorBidi" w:hAnsiTheme="majorBidi" w:cstheme="majorBidi"/>
          <w:sz w:val="24"/>
          <w:szCs w:val="24"/>
        </w:rPr>
        <w:br/>
      </w:r>
      <w:r w:rsidRPr="00C20081">
        <w:rPr>
          <w:rFonts w:asciiTheme="majorBidi" w:hAnsiTheme="majorBidi" w:cstheme="majorBidi"/>
          <w:sz w:val="24"/>
          <w:szCs w:val="24"/>
        </w:rPr>
        <w:t>od dnia zawarcia umowy o dofinansowanie</w:t>
      </w:r>
      <w:r>
        <w:rPr>
          <w:rFonts w:asciiTheme="majorBidi" w:hAnsiTheme="majorBidi" w:cstheme="majorBidi"/>
          <w:sz w:val="24"/>
          <w:szCs w:val="24"/>
        </w:rPr>
        <w:t>”;</w:t>
      </w:r>
    </w:p>
    <w:p w14:paraId="3429BE50" w14:textId="4D77E6AC" w:rsidR="00C20081" w:rsidRPr="00C20081" w:rsidRDefault="00C20081" w:rsidP="00C20081">
      <w:pPr>
        <w:pStyle w:val="Akapitzlist"/>
        <w:numPr>
          <w:ilvl w:val="0"/>
          <w:numId w:val="16"/>
        </w:numPr>
        <w:spacing w:after="0" w:line="360" w:lineRule="auto"/>
        <w:ind w:left="851" w:hanging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 przedostatnim akapicie liczbę 14 zastępuje się liczbą 12.  </w:t>
      </w:r>
    </w:p>
    <w:bookmarkEnd w:id="1"/>
    <w:p w14:paraId="05A03820" w14:textId="05249D5D" w:rsidR="00B92B1C" w:rsidRPr="00B92B1C" w:rsidRDefault="00B92B1C" w:rsidP="000F30B2">
      <w:pPr>
        <w:pStyle w:val="Akapitzlist"/>
        <w:numPr>
          <w:ilvl w:val="0"/>
          <w:numId w:val="23"/>
        </w:numPr>
        <w:spacing w:after="0"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 w:rsidRPr="00B92B1C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 xml:space="preserve">Nazwę Rozdziału XI. </w:t>
      </w:r>
      <w:bookmarkStart w:id="2" w:name="_Hlk74652672"/>
      <w:r w:rsidRPr="00B92B1C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 xml:space="preserve">„Zestawienie wszystkich lokalnych kryteriów wyboru operacji wraz z przypisaniem </w:t>
      </w:r>
      <w:r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>i</w:t>
      </w:r>
      <w:r w:rsidRPr="00B92B1C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 xml:space="preserve">ch do celu ogólnego 3 w ramach którego realizowana będzie operacja własna” </w:t>
      </w:r>
      <w:bookmarkEnd w:id="2"/>
      <w:r w:rsidRPr="00B92B1C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>zastępuje się nazwą</w:t>
      </w:r>
      <w:r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 xml:space="preserve">: </w:t>
      </w:r>
      <w:r w:rsidRPr="00B92B1C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 xml:space="preserve">„Zestawienie lokalnych kryteriów wyboru operacji </w:t>
      </w:r>
      <w:r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>do celu ogólnego 3 w ramach którego realizowana będzie operacja własna</w:t>
      </w:r>
      <w:r w:rsidRPr="00B92B1C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>”</w:t>
      </w:r>
      <w:r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>.</w:t>
      </w:r>
    </w:p>
    <w:p w14:paraId="68831EB3" w14:textId="0585BAA8" w:rsidR="00B92B1C" w:rsidRPr="00B92B1C" w:rsidRDefault="00B92B1C" w:rsidP="000F30B2">
      <w:pPr>
        <w:pStyle w:val="Akapitzlist"/>
        <w:numPr>
          <w:ilvl w:val="0"/>
          <w:numId w:val="23"/>
        </w:numPr>
        <w:spacing w:after="0"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 w:rsidRPr="00B92B1C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Wykreśla się tabelę zbiorczą dla wszystkich lokalnych kryteriów wyboru operacji. </w:t>
      </w:r>
    </w:p>
    <w:p w14:paraId="3897B92A" w14:textId="60A1E8F4" w:rsidR="00B92B1C" w:rsidRPr="00B92B1C" w:rsidRDefault="00B92B1C" w:rsidP="000F30B2">
      <w:pPr>
        <w:pStyle w:val="Akapitzlist"/>
        <w:numPr>
          <w:ilvl w:val="0"/>
          <w:numId w:val="23"/>
        </w:numPr>
        <w:spacing w:after="0"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 w:rsidRPr="00B92B1C">
        <w:rPr>
          <w:rFonts w:asciiTheme="majorBidi" w:eastAsia="Calibri" w:hAnsiTheme="majorBidi" w:cstheme="majorBidi"/>
          <w:lang w:eastAsia="en-US"/>
        </w:rPr>
        <w:t xml:space="preserve">W </w:t>
      </w:r>
      <w:r w:rsidRPr="00B92B1C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 xml:space="preserve">tabeli dotyczącej zestawienia lokalnych kryteriów wyboru operacji dla Celu ogólnego </w:t>
      </w:r>
      <w:r w:rsidR="00D14E1A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br/>
      </w:r>
      <w:r w:rsidRPr="00B92B1C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>3</w:t>
      </w:r>
      <w:bookmarkStart w:id="3" w:name="_Hlk515970063"/>
      <w:r w:rsidRPr="00B92B1C">
        <w:rPr>
          <w:rFonts w:asciiTheme="majorBidi" w:eastAsia="Calibri" w:hAnsiTheme="majorBidi" w:cstheme="majorBidi"/>
          <w:color w:val="000000" w:themeColor="text1"/>
          <w:lang w:eastAsia="en-US"/>
        </w:rPr>
        <w:t xml:space="preserve"> </w:t>
      </w:r>
      <w:r w:rsidRPr="00B92B1C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>Wzmocnienie kapitału społecznego w kształtowaniu i rozwoju obszaru LGD</w:t>
      </w:r>
      <w:bookmarkEnd w:id="3"/>
      <w:r w:rsidRPr="00B92B1C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>:</w:t>
      </w:r>
    </w:p>
    <w:p w14:paraId="2FA751A2" w14:textId="77777777" w:rsidR="00B92B1C" w:rsidRPr="00B92B1C" w:rsidRDefault="00B92B1C" w:rsidP="00D14E1A">
      <w:pPr>
        <w:numPr>
          <w:ilvl w:val="0"/>
          <w:numId w:val="19"/>
        </w:numPr>
        <w:spacing w:after="0" w:line="360" w:lineRule="auto"/>
        <w:ind w:left="851" w:hanging="284"/>
        <w:jc w:val="both"/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</w:pPr>
      <w:r w:rsidRPr="00B92B1C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>wykreśla się wiersz oznaczony numerem 8 „Okres realizacji operacji do jednego roku od dnia zawarcia umowy o dofinansowanie”;</w:t>
      </w:r>
    </w:p>
    <w:p w14:paraId="40F3715E" w14:textId="77777777" w:rsidR="00B92B1C" w:rsidRPr="00B92B1C" w:rsidRDefault="00B92B1C" w:rsidP="00D14E1A">
      <w:pPr>
        <w:numPr>
          <w:ilvl w:val="0"/>
          <w:numId w:val="19"/>
        </w:numPr>
        <w:spacing w:after="0" w:line="360" w:lineRule="auto"/>
        <w:ind w:left="851" w:hanging="284"/>
        <w:jc w:val="both"/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</w:pPr>
      <w:r w:rsidRPr="00B92B1C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>zdania w przedostatnim wierszu: „Projekt może uzyskać maksimum 28 pkt. Wymagane minimum wynosi 14 pkt” zastępuje się zdaniami w brzmieniu: „Projekt może uzyskać maksimum 24 pkt. Wymagane minimum wynosi 12 pkt”;</w:t>
      </w:r>
    </w:p>
    <w:p w14:paraId="656CBEA8" w14:textId="77777777" w:rsidR="00095505" w:rsidRPr="00B92B1C" w:rsidRDefault="00095505" w:rsidP="00B92B1C">
      <w:pPr>
        <w:spacing w:after="0" w:line="360" w:lineRule="auto"/>
        <w:ind w:left="567"/>
        <w:jc w:val="both"/>
        <w:rPr>
          <w:rFonts w:asciiTheme="majorBidi" w:eastAsia="Calibri" w:hAnsiTheme="majorBidi" w:cstheme="majorBidi"/>
          <w:color w:val="FF0000"/>
          <w:sz w:val="24"/>
          <w:szCs w:val="24"/>
          <w:lang w:eastAsia="en-US"/>
        </w:rPr>
      </w:pPr>
    </w:p>
    <w:p w14:paraId="17DB15A4" w14:textId="77777777" w:rsidR="00095505" w:rsidRPr="00D14E1A" w:rsidRDefault="00095505" w:rsidP="00095505">
      <w:pPr>
        <w:spacing w:after="0" w:line="360" w:lineRule="auto"/>
        <w:jc w:val="center"/>
        <w:rPr>
          <w:rFonts w:asciiTheme="majorBidi" w:eastAsia="Calibri" w:hAnsiTheme="majorBidi" w:cstheme="majorBidi"/>
          <w:b/>
          <w:bCs/>
          <w:color w:val="000000" w:themeColor="text1"/>
          <w:sz w:val="24"/>
          <w:szCs w:val="24"/>
          <w:lang w:eastAsia="en-US"/>
        </w:rPr>
      </w:pPr>
      <w:r w:rsidRPr="00D14E1A">
        <w:rPr>
          <w:rFonts w:asciiTheme="majorBidi" w:eastAsia="Calibri" w:hAnsiTheme="majorBidi" w:cstheme="majorBidi"/>
          <w:b/>
          <w:bCs/>
          <w:color w:val="000000" w:themeColor="text1"/>
          <w:sz w:val="24"/>
          <w:szCs w:val="24"/>
          <w:lang w:eastAsia="en-US"/>
        </w:rPr>
        <w:t>§ 2</w:t>
      </w:r>
    </w:p>
    <w:p w14:paraId="4AD9E98D" w14:textId="247FB14E" w:rsidR="00095505" w:rsidRPr="00D14E1A" w:rsidRDefault="00095505" w:rsidP="00095505">
      <w:pPr>
        <w:spacing w:after="0" w:line="360" w:lineRule="auto"/>
        <w:jc w:val="both"/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</w:pPr>
      <w:r w:rsidRPr="00D14E1A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 xml:space="preserve">Uwzględniając powyższe zmiany, zatwierdza się tekst jednolity </w:t>
      </w:r>
      <w:r w:rsidR="00B92B1C" w:rsidRPr="00D14E1A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 xml:space="preserve">Procedur wyboru i oceny operacji własnych oraz kryteriów wyboru operacji własnych wraz z procedurą ustalania lub zmiany kryteriów w ramach Lokalnej Strategii Rozwoju Lokalnej Grupy Działania „Brynica  to nie granica”, </w:t>
      </w:r>
      <w:r w:rsidRPr="00D14E1A">
        <w:rPr>
          <w:rFonts w:asciiTheme="majorBidi" w:eastAsia="Calibri" w:hAnsiTheme="majorBidi" w:cstheme="majorBidi"/>
          <w:color w:val="000000" w:themeColor="text1"/>
          <w:sz w:val="24"/>
          <w:szCs w:val="24"/>
          <w:lang w:eastAsia="en-US"/>
        </w:rPr>
        <w:t>w brzmieniu stanowiącym załącznik do niniejszej uchwały.</w:t>
      </w:r>
    </w:p>
    <w:p w14:paraId="24E1B02C" w14:textId="77777777" w:rsidR="00095505" w:rsidRPr="00095505" w:rsidRDefault="00095505" w:rsidP="00095505">
      <w:pPr>
        <w:spacing w:after="0" w:line="360" w:lineRule="auto"/>
        <w:jc w:val="center"/>
        <w:rPr>
          <w:rFonts w:asciiTheme="majorBidi" w:eastAsia="Times New Roman" w:hAnsiTheme="majorBidi" w:cstheme="majorBidi"/>
          <w:b/>
          <w:color w:val="FF0000"/>
          <w:sz w:val="24"/>
          <w:szCs w:val="24"/>
        </w:rPr>
      </w:pPr>
    </w:p>
    <w:p w14:paraId="01305BAF" w14:textId="77777777" w:rsidR="00095505" w:rsidRPr="00095505" w:rsidRDefault="00095505" w:rsidP="00095505">
      <w:pPr>
        <w:spacing w:after="0" w:line="360" w:lineRule="auto"/>
        <w:jc w:val="center"/>
        <w:rPr>
          <w:rFonts w:asciiTheme="majorBidi" w:eastAsia="Times New Roman" w:hAnsiTheme="majorBidi" w:cstheme="majorBidi"/>
          <w:sz w:val="24"/>
          <w:szCs w:val="24"/>
        </w:rPr>
      </w:pP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>§ 3</w:t>
      </w:r>
    </w:p>
    <w:p w14:paraId="5C9A6638" w14:textId="77777777" w:rsidR="00D14E1A" w:rsidRDefault="00095505" w:rsidP="00D14E1A">
      <w:pPr>
        <w:spacing w:after="0" w:line="360" w:lineRule="auto"/>
        <w:jc w:val="both"/>
        <w:rPr>
          <w:rFonts w:asciiTheme="majorBidi" w:eastAsia="Times New Roman" w:hAnsiTheme="majorBidi" w:cstheme="majorBidi"/>
          <w:b/>
          <w:sz w:val="24"/>
          <w:szCs w:val="24"/>
        </w:rPr>
      </w:pPr>
      <w:r w:rsidRPr="00095505">
        <w:rPr>
          <w:rFonts w:asciiTheme="majorBidi" w:eastAsia="Calibri" w:hAnsiTheme="majorBidi" w:cstheme="majorBidi"/>
          <w:sz w:val="24"/>
          <w:szCs w:val="24"/>
          <w:lang w:eastAsia="en-US"/>
        </w:rPr>
        <w:lastRenderedPageBreak/>
        <w:t>Uchwała wchodzi w życie z dniem podjęcia.</w:t>
      </w:r>
      <w:r w:rsidRPr="00095505">
        <w:rPr>
          <w:rFonts w:asciiTheme="majorBidi" w:eastAsia="Calibri" w:hAnsiTheme="majorBidi" w:cstheme="majorBidi"/>
          <w:b/>
          <w:lang w:eastAsia="en-US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  <w:t xml:space="preserve">      </w:t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95505">
        <w:rPr>
          <w:rFonts w:asciiTheme="majorBidi" w:eastAsia="Times New Roman" w:hAnsiTheme="majorBidi" w:cstheme="majorBidi"/>
          <w:b/>
          <w:sz w:val="24"/>
          <w:szCs w:val="24"/>
        </w:rPr>
        <w:tab/>
      </w:r>
      <w:r>
        <w:rPr>
          <w:rFonts w:asciiTheme="majorBidi" w:eastAsia="Times New Roman" w:hAnsiTheme="majorBidi" w:cstheme="majorBidi"/>
          <w:b/>
          <w:sz w:val="24"/>
          <w:szCs w:val="24"/>
        </w:rPr>
        <w:tab/>
      </w:r>
      <w:r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="00D14E1A">
        <w:rPr>
          <w:rFonts w:asciiTheme="majorBidi" w:eastAsia="Times New Roman" w:hAnsiTheme="majorBidi" w:cstheme="majorBidi"/>
          <w:b/>
          <w:sz w:val="24"/>
          <w:szCs w:val="24"/>
        </w:rPr>
        <w:tab/>
      </w:r>
    </w:p>
    <w:p w14:paraId="664AEFF3" w14:textId="77777777" w:rsidR="00D14E1A" w:rsidRDefault="00D14E1A" w:rsidP="00D14E1A">
      <w:pPr>
        <w:spacing w:after="0" w:line="360" w:lineRule="auto"/>
        <w:jc w:val="both"/>
        <w:rPr>
          <w:rFonts w:asciiTheme="majorBidi" w:eastAsia="Times New Roman" w:hAnsiTheme="majorBidi" w:cstheme="majorBidi"/>
          <w:b/>
          <w:sz w:val="24"/>
          <w:szCs w:val="24"/>
        </w:rPr>
      </w:pPr>
    </w:p>
    <w:p w14:paraId="7DC4FAFB" w14:textId="597D29D8" w:rsidR="00095505" w:rsidRPr="00D14E1A" w:rsidRDefault="00D14E1A" w:rsidP="00D14E1A">
      <w:pPr>
        <w:spacing w:after="0" w:line="360" w:lineRule="auto"/>
        <w:jc w:val="both"/>
        <w:rPr>
          <w:rFonts w:asciiTheme="majorBidi" w:eastAsia="Calibri" w:hAnsiTheme="majorBidi" w:cstheme="majorBidi"/>
          <w:b/>
          <w:lang w:eastAsia="en-US"/>
        </w:rPr>
      </w:pPr>
      <w:r>
        <w:rPr>
          <w:rFonts w:asciiTheme="majorBidi" w:eastAsia="Times New Roman" w:hAnsiTheme="majorBidi" w:cstheme="majorBidi"/>
          <w:b/>
          <w:sz w:val="24"/>
          <w:szCs w:val="24"/>
        </w:rPr>
        <w:tab/>
      </w:r>
      <w:r>
        <w:rPr>
          <w:rFonts w:asciiTheme="majorBidi" w:eastAsia="Times New Roman" w:hAnsiTheme="majorBidi" w:cstheme="majorBidi"/>
          <w:b/>
          <w:sz w:val="24"/>
          <w:szCs w:val="24"/>
        </w:rPr>
        <w:tab/>
      </w:r>
      <w:r>
        <w:rPr>
          <w:rFonts w:asciiTheme="majorBidi" w:eastAsia="Times New Roman" w:hAnsiTheme="majorBidi" w:cstheme="majorBidi"/>
          <w:b/>
          <w:sz w:val="24"/>
          <w:szCs w:val="24"/>
        </w:rPr>
        <w:tab/>
      </w:r>
      <w:r>
        <w:rPr>
          <w:rFonts w:asciiTheme="majorBidi" w:eastAsia="Times New Roman" w:hAnsiTheme="majorBidi" w:cstheme="majorBidi"/>
          <w:b/>
          <w:sz w:val="24"/>
          <w:szCs w:val="24"/>
        </w:rPr>
        <w:tab/>
      </w:r>
      <w:r>
        <w:rPr>
          <w:rFonts w:asciiTheme="majorBidi" w:eastAsia="Times New Roman" w:hAnsiTheme="majorBidi" w:cstheme="majorBidi"/>
          <w:b/>
          <w:sz w:val="24"/>
          <w:szCs w:val="24"/>
        </w:rPr>
        <w:tab/>
      </w:r>
      <w:r>
        <w:rPr>
          <w:rFonts w:asciiTheme="majorBidi" w:eastAsia="Times New Roman" w:hAnsiTheme="majorBidi" w:cstheme="majorBidi"/>
          <w:b/>
          <w:sz w:val="24"/>
          <w:szCs w:val="24"/>
        </w:rPr>
        <w:tab/>
      </w:r>
      <w:r>
        <w:rPr>
          <w:rFonts w:asciiTheme="majorBidi" w:eastAsia="Times New Roman" w:hAnsiTheme="majorBidi" w:cstheme="majorBidi"/>
          <w:b/>
          <w:sz w:val="24"/>
          <w:szCs w:val="24"/>
        </w:rPr>
        <w:tab/>
      </w:r>
      <w:r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="00095505" w:rsidRPr="0009550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Przewodniczący Walnego Zebrania </w:t>
      </w:r>
      <w:r w:rsidR="0009550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  <w:r w:rsidR="0009550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  <w:r w:rsidR="0009550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  <w:r w:rsidR="0009550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  <w:r w:rsidR="0009550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  <w:r w:rsidR="0009550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  <w:r w:rsidR="0009550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</w:p>
    <w:p w14:paraId="00B3A47B" w14:textId="39258720" w:rsidR="00095505" w:rsidRPr="00095505" w:rsidRDefault="00D14E1A" w:rsidP="00095505">
      <w:pPr>
        <w:spacing w:before="120" w:after="120" w:line="360" w:lineRule="auto"/>
        <w:ind w:firstLine="5387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  <w:r w:rsidR="00095505" w:rsidRPr="0009550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………………………….</w:t>
      </w:r>
    </w:p>
    <w:p w14:paraId="06B9B364" w14:textId="77777777" w:rsidR="00095505" w:rsidRPr="00095505" w:rsidRDefault="00095505" w:rsidP="00095505">
      <w:pPr>
        <w:spacing w:before="120" w:after="120" w:line="360" w:lineRule="auto"/>
        <w:ind w:firstLine="5387"/>
        <w:jc w:val="center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14:paraId="1D23B95B" w14:textId="77777777" w:rsidR="00095505" w:rsidRPr="00095505" w:rsidRDefault="00095505" w:rsidP="00095505">
      <w:pPr>
        <w:spacing w:after="0" w:line="360" w:lineRule="auto"/>
        <w:jc w:val="right"/>
        <w:rPr>
          <w:rFonts w:asciiTheme="majorBidi" w:eastAsia="Calibri" w:hAnsiTheme="majorBidi" w:cstheme="majorBidi"/>
          <w:sz w:val="24"/>
          <w:szCs w:val="24"/>
          <w:lang w:eastAsia="en-US"/>
        </w:rPr>
      </w:pPr>
    </w:p>
    <w:p w14:paraId="56A2F3A5" w14:textId="4469E45F" w:rsidR="00095505" w:rsidRDefault="00095505" w:rsidP="000E540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6AEBC7" w14:textId="79E3EDE8" w:rsidR="00095505" w:rsidRDefault="00095505" w:rsidP="000E540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95505" w:rsidSect="00BB273F">
      <w:pgSz w:w="11906" w:h="16838"/>
      <w:pgMar w:top="1276" w:right="1276" w:bottom="127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5747"/>
    <w:multiLevelType w:val="hybridMultilevel"/>
    <w:tmpl w:val="019AC80E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B3334A"/>
    <w:multiLevelType w:val="hybridMultilevel"/>
    <w:tmpl w:val="CD001178"/>
    <w:lvl w:ilvl="0" w:tplc="75409906">
      <w:start w:val="1"/>
      <w:numFmt w:val="decimal"/>
      <w:lvlText w:val="%1)"/>
      <w:lvlJc w:val="left"/>
      <w:pPr>
        <w:ind w:left="927" w:hanging="360"/>
      </w:pPr>
      <w:rPr>
        <w:rFonts w:asciiTheme="majorBidi" w:eastAsia="Calibri" w:hAnsiTheme="majorBidi" w:cstheme="majorBid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E07F79"/>
    <w:multiLevelType w:val="hybridMultilevel"/>
    <w:tmpl w:val="15BAD3DC"/>
    <w:lvl w:ilvl="0" w:tplc="CFF0BC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291E66"/>
    <w:multiLevelType w:val="hybridMultilevel"/>
    <w:tmpl w:val="44C49F5E"/>
    <w:lvl w:ilvl="0" w:tplc="4E347A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703CA2"/>
    <w:multiLevelType w:val="hybridMultilevel"/>
    <w:tmpl w:val="8D7689B4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3BD75F8"/>
    <w:multiLevelType w:val="hybridMultilevel"/>
    <w:tmpl w:val="DF16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60586"/>
    <w:multiLevelType w:val="hybridMultilevel"/>
    <w:tmpl w:val="22B002AE"/>
    <w:lvl w:ilvl="0" w:tplc="50F05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75DCD"/>
    <w:multiLevelType w:val="hybridMultilevel"/>
    <w:tmpl w:val="97AC17E8"/>
    <w:lvl w:ilvl="0" w:tplc="A11AD526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47F79"/>
    <w:multiLevelType w:val="hybridMultilevel"/>
    <w:tmpl w:val="95508264"/>
    <w:lvl w:ilvl="0" w:tplc="D4A6A1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9525F"/>
    <w:multiLevelType w:val="hybridMultilevel"/>
    <w:tmpl w:val="8A8CBC88"/>
    <w:lvl w:ilvl="0" w:tplc="D4A6A126">
      <w:start w:val="1"/>
      <w:numFmt w:val="bullet"/>
      <w:lvlText w:val="-"/>
      <w:lvlJc w:val="left"/>
      <w:pPr>
        <w:ind w:left="143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2ADB3BBA"/>
    <w:multiLevelType w:val="hybridMultilevel"/>
    <w:tmpl w:val="50567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C026D0"/>
    <w:multiLevelType w:val="hybridMultilevel"/>
    <w:tmpl w:val="3BA8F77A"/>
    <w:lvl w:ilvl="0" w:tplc="D4A6A126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C4B76B6"/>
    <w:multiLevelType w:val="hybridMultilevel"/>
    <w:tmpl w:val="E19A52B0"/>
    <w:lvl w:ilvl="0" w:tplc="D4A6A126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0C9497F"/>
    <w:multiLevelType w:val="multilevel"/>
    <w:tmpl w:val="41EEDDC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2.%1.%3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29E2729"/>
    <w:multiLevelType w:val="hybridMultilevel"/>
    <w:tmpl w:val="260C0860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A9B029E"/>
    <w:multiLevelType w:val="hybridMultilevel"/>
    <w:tmpl w:val="27D22C64"/>
    <w:lvl w:ilvl="0" w:tplc="D4A6A12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B3B169A"/>
    <w:multiLevelType w:val="hybridMultilevel"/>
    <w:tmpl w:val="A8847A0C"/>
    <w:lvl w:ilvl="0" w:tplc="D4A6A12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CFD5613"/>
    <w:multiLevelType w:val="hybridMultilevel"/>
    <w:tmpl w:val="A7E0C5EC"/>
    <w:lvl w:ilvl="0" w:tplc="91CCC632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D4E645A"/>
    <w:multiLevelType w:val="hybridMultilevel"/>
    <w:tmpl w:val="827A1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F120F"/>
    <w:multiLevelType w:val="hybridMultilevel"/>
    <w:tmpl w:val="07E0611C"/>
    <w:lvl w:ilvl="0" w:tplc="50F056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D90F5C"/>
    <w:multiLevelType w:val="hybridMultilevel"/>
    <w:tmpl w:val="CCCE7374"/>
    <w:lvl w:ilvl="0" w:tplc="50F05650">
      <w:start w:val="1"/>
      <w:numFmt w:val="bullet"/>
      <w:lvlText w:val=""/>
      <w:lvlJc w:val="left"/>
      <w:pPr>
        <w:ind w:left="15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21">
    <w:nsid w:val="649E510B"/>
    <w:multiLevelType w:val="hybridMultilevel"/>
    <w:tmpl w:val="A6BE70C8"/>
    <w:lvl w:ilvl="0" w:tplc="CFF0BC74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>
    <w:nsid w:val="64BE2068"/>
    <w:multiLevelType w:val="hybridMultilevel"/>
    <w:tmpl w:val="D2E2B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B95C6F"/>
    <w:multiLevelType w:val="hybridMultilevel"/>
    <w:tmpl w:val="ECA047EA"/>
    <w:lvl w:ilvl="0" w:tplc="4012790C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C234EE"/>
    <w:multiLevelType w:val="hybridMultilevel"/>
    <w:tmpl w:val="7D4090C0"/>
    <w:lvl w:ilvl="0" w:tplc="D4A6A126">
      <w:start w:val="1"/>
      <w:numFmt w:val="bullet"/>
      <w:lvlText w:val="-"/>
      <w:lvlJc w:val="left"/>
      <w:pPr>
        <w:ind w:left="20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5">
    <w:nsid w:val="7AD059CD"/>
    <w:multiLevelType w:val="hybridMultilevel"/>
    <w:tmpl w:val="CBA28E1C"/>
    <w:lvl w:ilvl="0" w:tplc="D4A6A1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8"/>
  </w:num>
  <w:num w:numId="4">
    <w:abstractNumId w:val="18"/>
  </w:num>
  <w:num w:numId="5">
    <w:abstractNumId w:val="9"/>
  </w:num>
  <w:num w:numId="6">
    <w:abstractNumId w:val="3"/>
  </w:num>
  <w:num w:numId="7">
    <w:abstractNumId w:val="15"/>
  </w:num>
  <w:num w:numId="8">
    <w:abstractNumId w:val="17"/>
  </w:num>
  <w:num w:numId="9">
    <w:abstractNumId w:val="12"/>
  </w:num>
  <w:num w:numId="10">
    <w:abstractNumId w:val="16"/>
  </w:num>
  <w:num w:numId="11">
    <w:abstractNumId w:val="11"/>
  </w:num>
  <w:num w:numId="12">
    <w:abstractNumId w:val="5"/>
  </w:num>
  <w:num w:numId="13">
    <w:abstractNumId w:val="23"/>
  </w:num>
  <w:num w:numId="14">
    <w:abstractNumId w:val="14"/>
  </w:num>
  <w:num w:numId="15">
    <w:abstractNumId w:val="4"/>
  </w:num>
  <w:num w:numId="16">
    <w:abstractNumId w:val="0"/>
  </w:num>
  <w:num w:numId="17">
    <w:abstractNumId w:val="22"/>
  </w:num>
  <w:num w:numId="18">
    <w:abstractNumId w:val="19"/>
  </w:num>
  <w:num w:numId="19">
    <w:abstractNumId w:val="20"/>
  </w:num>
  <w:num w:numId="20">
    <w:abstractNumId w:val="6"/>
  </w:num>
  <w:num w:numId="21">
    <w:abstractNumId w:val="10"/>
  </w:num>
  <w:num w:numId="22">
    <w:abstractNumId w:val="2"/>
  </w:num>
  <w:num w:numId="23">
    <w:abstractNumId w:val="1"/>
  </w:num>
  <w:num w:numId="24">
    <w:abstractNumId w:val="21"/>
  </w:num>
  <w:num w:numId="25">
    <w:abstractNumId w:val="1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0E61"/>
    <w:rsid w:val="0001526D"/>
    <w:rsid w:val="000236AA"/>
    <w:rsid w:val="00042A04"/>
    <w:rsid w:val="00045CC2"/>
    <w:rsid w:val="00057F14"/>
    <w:rsid w:val="0007374E"/>
    <w:rsid w:val="00095505"/>
    <w:rsid w:val="000B6E89"/>
    <w:rsid w:val="000E5402"/>
    <w:rsid w:val="000E585F"/>
    <w:rsid w:val="000F0F0F"/>
    <w:rsid w:val="000F30B2"/>
    <w:rsid w:val="00120259"/>
    <w:rsid w:val="001257D7"/>
    <w:rsid w:val="001459AE"/>
    <w:rsid w:val="00154460"/>
    <w:rsid w:val="0019365F"/>
    <w:rsid w:val="001C45B0"/>
    <w:rsid w:val="001C4FF5"/>
    <w:rsid w:val="001D303A"/>
    <w:rsid w:val="001D6DF4"/>
    <w:rsid w:val="001E7D5A"/>
    <w:rsid w:val="00205D30"/>
    <w:rsid w:val="00211D44"/>
    <w:rsid w:val="002629E7"/>
    <w:rsid w:val="00267ED2"/>
    <w:rsid w:val="002838B1"/>
    <w:rsid w:val="00291DB2"/>
    <w:rsid w:val="002A2DD1"/>
    <w:rsid w:val="002A5887"/>
    <w:rsid w:val="002A7369"/>
    <w:rsid w:val="002B23CC"/>
    <w:rsid w:val="002C03B7"/>
    <w:rsid w:val="002D404C"/>
    <w:rsid w:val="002E23F1"/>
    <w:rsid w:val="002E55EA"/>
    <w:rsid w:val="003146AD"/>
    <w:rsid w:val="00334471"/>
    <w:rsid w:val="003546BA"/>
    <w:rsid w:val="003733FA"/>
    <w:rsid w:val="003821E0"/>
    <w:rsid w:val="003906F4"/>
    <w:rsid w:val="003B171C"/>
    <w:rsid w:val="003E5627"/>
    <w:rsid w:val="003F5D46"/>
    <w:rsid w:val="00422E88"/>
    <w:rsid w:val="00460B0A"/>
    <w:rsid w:val="004660A7"/>
    <w:rsid w:val="004804C7"/>
    <w:rsid w:val="00481218"/>
    <w:rsid w:val="004C52D5"/>
    <w:rsid w:val="004D285E"/>
    <w:rsid w:val="004E0B55"/>
    <w:rsid w:val="004E61F4"/>
    <w:rsid w:val="00502D84"/>
    <w:rsid w:val="00510C78"/>
    <w:rsid w:val="00536F54"/>
    <w:rsid w:val="00550B2A"/>
    <w:rsid w:val="00552FF0"/>
    <w:rsid w:val="00560702"/>
    <w:rsid w:val="00563BC1"/>
    <w:rsid w:val="00567507"/>
    <w:rsid w:val="00580996"/>
    <w:rsid w:val="005B072B"/>
    <w:rsid w:val="005E1D7E"/>
    <w:rsid w:val="005E3B5F"/>
    <w:rsid w:val="00623319"/>
    <w:rsid w:val="006241BD"/>
    <w:rsid w:val="00647124"/>
    <w:rsid w:val="006623E7"/>
    <w:rsid w:val="00694D81"/>
    <w:rsid w:val="006E56CB"/>
    <w:rsid w:val="00715E6F"/>
    <w:rsid w:val="00782C7E"/>
    <w:rsid w:val="007905D2"/>
    <w:rsid w:val="00793CEE"/>
    <w:rsid w:val="00796FF4"/>
    <w:rsid w:val="007B086F"/>
    <w:rsid w:val="007B331D"/>
    <w:rsid w:val="007C42A0"/>
    <w:rsid w:val="007D03E4"/>
    <w:rsid w:val="007D4447"/>
    <w:rsid w:val="007E0CC2"/>
    <w:rsid w:val="007E341A"/>
    <w:rsid w:val="007F3EC8"/>
    <w:rsid w:val="00806DDB"/>
    <w:rsid w:val="008207B0"/>
    <w:rsid w:val="00846F64"/>
    <w:rsid w:val="008742AD"/>
    <w:rsid w:val="00880C37"/>
    <w:rsid w:val="00880E61"/>
    <w:rsid w:val="00885839"/>
    <w:rsid w:val="00891DE2"/>
    <w:rsid w:val="00894C4F"/>
    <w:rsid w:val="00897CD3"/>
    <w:rsid w:val="008B2467"/>
    <w:rsid w:val="008E3846"/>
    <w:rsid w:val="008F638C"/>
    <w:rsid w:val="00936D2C"/>
    <w:rsid w:val="00942991"/>
    <w:rsid w:val="009632E3"/>
    <w:rsid w:val="009E7349"/>
    <w:rsid w:val="009F3AA0"/>
    <w:rsid w:val="00A57AB2"/>
    <w:rsid w:val="00A70C8A"/>
    <w:rsid w:val="00A73E6C"/>
    <w:rsid w:val="00A9072E"/>
    <w:rsid w:val="00AA0F57"/>
    <w:rsid w:val="00AA598F"/>
    <w:rsid w:val="00AB1630"/>
    <w:rsid w:val="00AE1A25"/>
    <w:rsid w:val="00AE4466"/>
    <w:rsid w:val="00B04656"/>
    <w:rsid w:val="00B158E8"/>
    <w:rsid w:val="00B223BA"/>
    <w:rsid w:val="00B41DB1"/>
    <w:rsid w:val="00B46129"/>
    <w:rsid w:val="00B5439A"/>
    <w:rsid w:val="00B54C8B"/>
    <w:rsid w:val="00B92B1C"/>
    <w:rsid w:val="00B97855"/>
    <w:rsid w:val="00BB273F"/>
    <w:rsid w:val="00BB6541"/>
    <w:rsid w:val="00BB6CA9"/>
    <w:rsid w:val="00BB79F3"/>
    <w:rsid w:val="00BD053D"/>
    <w:rsid w:val="00BF266E"/>
    <w:rsid w:val="00C20081"/>
    <w:rsid w:val="00C25391"/>
    <w:rsid w:val="00C56552"/>
    <w:rsid w:val="00C7707E"/>
    <w:rsid w:val="00C85D94"/>
    <w:rsid w:val="00CA7716"/>
    <w:rsid w:val="00CB3CC7"/>
    <w:rsid w:val="00CC0FC7"/>
    <w:rsid w:val="00D0392C"/>
    <w:rsid w:val="00D072BE"/>
    <w:rsid w:val="00D14E1A"/>
    <w:rsid w:val="00D43DF5"/>
    <w:rsid w:val="00D67C9E"/>
    <w:rsid w:val="00D8146B"/>
    <w:rsid w:val="00D8679A"/>
    <w:rsid w:val="00DA2448"/>
    <w:rsid w:val="00DA4DD1"/>
    <w:rsid w:val="00DC65B2"/>
    <w:rsid w:val="00DE6D13"/>
    <w:rsid w:val="00DF2A8C"/>
    <w:rsid w:val="00DF59FF"/>
    <w:rsid w:val="00E058A4"/>
    <w:rsid w:val="00E11F41"/>
    <w:rsid w:val="00E21FA4"/>
    <w:rsid w:val="00E37FBD"/>
    <w:rsid w:val="00E40793"/>
    <w:rsid w:val="00E4617F"/>
    <w:rsid w:val="00E46EB4"/>
    <w:rsid w:val="00ED4DC3"/>
    <w:rsid w:val="00ED7595"/>
    <w:rsid w:val="00EF0C9F"/>
    <w:rsid w:val="00EF78E4"/>
    <w:rsid w:val="00F32B55"/>
    <w:rsid w:val="00F4406D"/>
    <w:rsid w:val="00F569BC"/>
    <w:rsid w:val="00F970A8"/>
    <w:rsid w:val="00FA6236"/>
    <w:rsid w:val="00FB2FF2"/>
    <w:rsid w:val="00FC44F5"/>
    <w:rsid w:val="00FF237B"/>
    <w:rsid w:val="00FF2EAC"/>
    <w:rsid w:val="00FF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91F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552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25391"/>
    <w:pPr>
      <w:keepNext/>
      <w:numPr>
        <w:numId w:val="25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25391"/>
    <w:pPr>
      <w:keepNext/>
      <w:numPr>
        <w:ilvl w:val="1"/>
        <w:numId w:val="25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25391"/>
    <w:pPr>
      <w:keepNext/>
      <w:numPr>
        <w:ilvl w:val="2"/>
        <w:numId w:val="25"/>
      </w:numPr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25391"/>
    <w:pPr>
      <w:keepNext/>
      <w:numPr>
        <w:ilvl w:val="3"/>
        <w:numId w:val="2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25391"/>
    <w:pPr>
      <w:numPr>
        <w:ilvl w:val="4"/>
        <w:numId w:val="2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25391"/>
    <w:pPr>
      <w:numPr>
        <w:ilvl w:val="5"/>
        <w:numId w:val="2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C25391"/>
    <w:pPr>
      <w:numPr>
        <w:ilvl w:val="6"/>
        <w:numId w:val="2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C25391"/>
    <w:pPr>
      <w:numPr>
        <w:ilvl w:val="7"/>
        <w:numId w:val="2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C25391"/>
    <w:pPr>
      <w:numPr>
        <w:ilvl w:val="8"/>
        <w:numId w:val="25"/>
      </w:numPr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552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1"/>
    <w:rsid w:val="00C565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C56552"/>
    <w:pPr>
      <w:widowControl w:val="0"/>
      <w:shd w:val="clear" w:color="auto" w:fill="FFFFFF"/>
      <w:spacing w:before="300" w:after="60" w:line="274" w:lineRule="exact"/>
      <w:ind w:hanging="3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Teksttreci275pt">
    <w:name w:val="Tekst treści (2) + 7;5 pt"/>
    <w:basedOn w:val="Teksttreci2"/>
    <w:rsid w:val="00C56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grubienieTeksttreci29pt">
    <w:name w:val="Pogrubienie;Tekst treści (2) + 9 pt"/>
    <w:basedOn w:val="Teksttreci2"/>
    <w:rsid w:val="00C565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PogrubienieTeksttreci2PalatinoLinotype8pt">
    <w:name w:val="Pogrubienie;Tekst treści (2) + Palatino Linotype;8 pt"/>
    <w:basedOn w:val="Teksttreci2"/>
    <w:rsid w:val="00C5655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A9072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9072E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Bezodstpw">
    <w:name w:val="No Spacing"/>
    <w:uiPriority w:val="1"/>
    <w:qFormat/>
    <w:rsid w:val="000955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C25391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25391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25391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2539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2539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25391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253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253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25391"/>
    <w:rPr>
      <w:rFonts w:ascii="Arial" w:eastAsia="Times New Roman" w:hAnsi="Arial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5CD77-5869-4EB4-8D20-D25F59F2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845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Windows User</cp:lastModifiedBy>
  <cp:revision>2</cp:revision>
  <dcterms:created xsi:type="dcterms:W3CDTF">2021-06-21T17:45:00Z</dcterms:created>
  <dcterms:modified xsi:type="dcterms:W3CDTF">2021-06-21T17:45:00Z</dcterms:modified>
</cp:coreProperties>
</file>