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1C47B" w14:textId="11EECCE0" w:rsidR="00792D4F" w:rsidRDefault="00792D4F" w:rsidP="00792D4F">
      <w:pPr>
        <w:spacing w:after="0"/>
        <w:jc w:val="right"/>
        <w:rPr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8F350E" wp14:editId="0D421D52">
            <wp:simplePos x="0" y="0"/>
            <wp:positionH relativeFrom="margin">
              <wp:posOffset>198120</wp:posOffset>
            </wp:positionH>
            <wp:positionV relativeFrom="paragraph">
              <wp:posOffset>2540</wp:posOffset>
            </wp:positionV>
            <wp:extent cx="5760720" cy="662940"/>
            <wp:effectExtent l="0" t="0" r="0" b="3810"/>
            <wp:wrapTight wrapText="bothSides">
              <wp:wrapPolygon edited="0">
                <wp:start x="0" y="0"/>
                <wp:lineTo x="0" y="21103"/>
                <wp:lineTo x="21500" y="21103"/>
                <wp:lineTo x="21500" y="0"/>
                <wp:lineTo x="0" y="0"/>
              </wp:wrapPolygon>
            </wp:wrapTight>
            <wp:docPr id="6" name="Obraz 3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9BC3240C-8C2A-4026-AA0F-E87E229CC5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9BC3240C-8C2A-4026-AA0F-E87E229CC5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3595FD" w14:textId="7FFFE743" w:rsidR="00792D4F" w:rsidRDefault="00792D4F" w:rsidP="00792D4F">
      <w:pPr>
        <w:spacing w:after="0"/>
        <w:jc w:val="right"/>
        <w:rPr>
          <w:bCs/>
          <w:sz w:val="18"/>
          <w:szCs w:val="18"/>
        </w:rPr>
      </w:pPr>
    </w:p>
    <w:p w14:paraId="70E108F5" w14:textId="42EB5556" w:rsidR="00792D4F" w:rsidRPr="00106B91" w:rsidRDefault="00792D4F" w:rsidP="00792D4F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106B91">
        <w:rPr>
          <w:bCs/>
          <w:strike/>
          <w:color w:val="FF0000"/>
          <w:sz w:val="18"/>
          <w:szCs w:val="18"/>
        </w:rPr>
        <w:t>Załącznik Nr…… do Uchwały Nr ……/2024</w:t>
      </w:r>
    </w:p>
    <w:p w14:paraId="042187AF" w14:textId="77777777" w:rsidR="00792D4F" w:rsidRPr="00106B91" w:rsidRDefault="00792D4F" w:rsidP="00792D4F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106B91">
        <w:rPr>
          <w:bCs/>
          <w:strike/>
          <w:color w:val="FF0000"/>
          <w:sz w:val="18"/>
          <w:szCs w:val="18"/>
        </w:rPr>
        <w:t>Walnego Zebrania Członków</w:t>
      </w:r>
    </w:p>
    <w:p w14:paraId="155EEE9D" w14:textId="77777777" w:rsidR="00792D4F" w:rsidRPr="00106B91" w:rsidRDefault="00792D4F" w:rsidP="00792D4F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106B91">
        <w:rPr>
          <w:bCs/>
          <w:strike/>
          <w:color w:val="FF0000"/>
          <w:sz w:val="18"/>
          <w:szCs w:val="18"/>
        </w:rPr>
        <w:t>Lokalnej Grupy Działania</w:t>
      </w:r>
    </w:p>
    <w:p w14:paraId="75F4ACB0" w14:textId="77777777" w:rsidR="00792D4F" w:rsidRPr="00106B91" w:rsidRDefault="00792D4F" w:rsidP="00792D4F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106B91">
        <w:rPr>
          <w:bCs/>
          <w:strike/>
          <w:color w:val="FF0000"/>
          <w:sz w:val="18"/>
          <w:szCs w:val="18"/>
        </w:rPr>
        <w:t>„Brynica to nie granica”</w:t>
      </w:r>
    </w:p>
    <w:p w14:paraId="0E69277D" w14:textId="113665CD" w:rsidR="00792D4F" w:rsidRPr="00106B91" w:rsidRDefault="00792D4F" w:rsidP="00792D4F">
      <w:pPr>
        <w:spacing w:after="0"/>
        <w:jc w:val="right"/>
        <w:rPr>
          <w:bCs/>
          <w:strike/>
          <w:color w:val="FF0000"/>
          <w:sz w:val="18"/>
          <w:szCs w:val="18"/>
        </w:rPr>
      </w:pPr>
      <w:r w:rsidRPr="00106B91">
        <w:rPr>
          <w:bCs/>
          <w:strike/>
          <w:color w:val="FF0000"/>
          <w:sz w:val="18"/>
          <w:szCs w:val="18"/>
        </w:rPr>
        <w:t>z dnia 27 czerwca 2024 r</w:t>
      </w:r>
    </w:p>
    <w:p w14:paraId="70C5949F" w14:textId="66E378A4" w:rsidR="00106B91" w:rsidRPr="00106B91" w:rsidRDefault="00106B91" w:rsidP="00792D4F">
      <w:pPr>
        <w:spacing w:after="0"/>
        <w:jc w:val="right"/>
        <w:rPr>
          <w:bCs/>
          <w:color w:val="FF0000"/>
          <w:sz w:val="18"/>
          <w:szCs w:val="18"/>
        </w:rPr>
      </w:pPr>
      <w:bookmarkStart w:id="0" w:name="_GoBack"/>
      <w:r w:rsidRPr="00106B91">
        <w:rPr>
          <w:bCs/>
          <w:color w:val="FF0000"/>
          <w:sz w:val="18"/>
          <w:szCs w:val="18"/>
        </w:rPr>
        <w:t>- PROJEKT-</w:t>
      </w:r>
    </w:p>
    <w:bookmarkEnd w:id="0"/>
    <w:p w14:paraId="71D4D6D2" w14:textId="77777777" w:rsidR="00792D4F" w:rsidRPr="00792D4F" w:rsidRDefault="00792D4F" w:rsidP="00792D4F">
      <w:pPr>
        <w:spacing w:after="0"/>
        <w:jc w:val="right"/>
        <w:rPr>
          <w:bCs/>
          <w:sz w:val="18"/>
          <w:szCs w:val="18"/>
        </w:rPr>
      </w:pPr>
    </w:p>
    <w:p w14:paraId="00000001" w14:textId="670F1C80" w:rsidR="00374464" w:rsidRDefault="00936E8E">
      <w:pPr>
        <w:pStyle w:val="Nagwek1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Procedura ustalania i zmiany niebudzących wątpliwości interpretacyjnych kryteriów wyboru operacji </w:t>
      </w:r>
    </w:p>
    <w:p w14:paraId="00000002" w14:textId="77777777" w:rsidR="00374464" w:rsidRDefault="00374464"/>
    <w:p w14:paraId="00000003" w14:textId="77777777" w:rsidR="00374464" w:rsidRDefault="00936E8E">
      <w:pPr>
        <w:pStyle w:val="Nagwek2"/>
      </w:pPr>
      <w:r>
        <w:t>Zakres procedury</w:t>
      </w:r>
    </w:p>
    <w:p w14:paraId="00000004" w14:textId="77777777" w:rsidR="00374464" w:rsidRDefault="00936E8E">
      <w:pPr>
        <w:tabs>
          <w:tab w:val="left" w:pos="-3060"/>
        </w:tabs>
        <w:spacing w:after="0"/>
        <w:jc w:val="center"/>
        <w:rPr>
          <w:color w:val="000000"/>
        </w:rPr>
      </w:pPr>
      <w:r>
        <w:rPr>
          <w:color w:val="000000"/>
        </w:rPr>
        <w:t>§1</w:t>
      </w:r>
    </w:p>
    <w:p w14:paraId="00000005" w14:textId="77777777" w:rsidR="00374464" w:rsidRDefault="00936E8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349"/>
        <w:jc w:val="both"/>
        <w:rPr>
          <w:color w:val="000000"/>
        </w:rPr>
      </w:pPr>
      <w:r>
        <w:rPr>
          <w:color w:val="000000"/>
        </w:rPr>
        <w:t>Procedury obejmują zasady ustalania i zmiany niebudzących wątpliwości interpretacyjnych kryteriów wyboru operacji.</w:t>
      </w:r>
    </w:p>
    <w:p w14:paraId="00000006" w14:textId="77777777" w:rsidR="00374464" w:rsidRDefault="00374464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color w:val="000000"/>
        </w:rPr>
      </w:pPr>
    </w:p>
    <w:p w14:paraId="00000007" w14:textId="77777777" w:rsidR="00374464" w:rsidRDefault="00936E8E">
      <w:pPr>
        <w:pStyle w:val="Nagwek2"/>
      </w:pPr>
      <w:r>
        <w:t>Kryteria</w:t>
      </w:r>
    </w:p>
    <w:p w14:paraId="00000008" w14:textId="77777777" w:rsidR="00374464" w:rsidRDefault="00936E8E">
      <w:pPr>
        <w:tabs>
          <w:tab w:val="left" w:pos="-3060"/>
        </w:tabs>
        <w:spacing w:after="0"/>
        <w:jc w:val="center"/>
      </w:pPr>
      <w:r>
        <w:t>§2</w:t>
      </w:r>
    </w:p>
    <w:p w14:paraId="00000009" w14:textId="77777777" w:rsidR="00374464" w:rsidRDefault="00936E8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427"/>
        <w:jc w:val="both"/>
        <w:rPr>
          <w:color w:val="000000"/>
        </w:rPr>
      </w:pPr>
      <w:r>
        <w:rPr>
          <w:color w:val="000000"/>
        </w:rPr>
        <w:t xml:space="preserve">LGD dokonuje wyboru operacji spośród wniosków, które spełniających warunki o których mowa w art. 21 ust. 1 pkt 1,  ustawy RLKS przy zastosowaniu kryteriów wyboru operacji, które są ustalane przez LGD. </w:t>
      </w:r>
    </w:p>
    <w:p w14:paraId="0000000A" w14:textId="77777777" w:rsidR="00374464" w:rsidRDefault="00936E8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427"/>
        <w:jc w:val="both"/>
        <w:rPr>
          <w:color w:val="000000"/>
        </w:rPr>
      </w:pPr>
      <w:r>
        <w:rPr>
          <w:color w:val="000000"/>
        </w:rPr>
        <w:t>LGD stosuje rankingujące kryteria wyboru operacji czyli premiujące wnioski o określonym charakterze.</w:t>
      </w:r>
    </w:p>
    <w:p w14:paraId="0000000B" w14:textId="77777777" w:rsidR="00374464" w:rsidRDefault="00936E8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427"/>
        <w:jc w:val="both"/>
        <w:rPr>
          <w:color w:val="000000"/>
        </w:rPr>
      </w:pPr>
      <w:r>
        <w:rPr>
          <w:color w:val="000000"/>
        </w:rPr>
        <w:t>LGD ustala minimum punktowe w wysokości 25% całkowitej liczby punktów, o wartości zaokrąglonej w dół.</w:t>
      </w:r>
    </w:p>
    <w:p w14:paraId="0000000C" w14:textId="77777777" w:rsidR="00374464" w:rsidRDefault="00374464">
      <w:p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</w:rPr>
      </w:pPr>
    </w:p>
    <w:p w14:paraId="0000000D" w14:textId="77777777" w:rsidR="00374464" w:rsidRDefault="00936E8E">
      <w:pPr>
        <w:spacing w:after="0"/>
        <w:jc w:val="center"/>
      </w:pPr>
      <w:r>
        <w:t>§3</w:t>
      </w:r>
    </w:p>
    <w:p w14:paraId="0000000E" w14:textId="77777777" w:rsidR="00374464" w:rsidRDefault="00936E8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427"/>
        <w:jc w:val="both"/>
        <w:rPr>
          <w:color w:val="000000"/>
        </w:rPr>
      </w:pPr>
      <w:r>
        <w:rPr>
          <w:color w:val="000000"/>
        </w:rPr>
        <w:t>Projekt kryteriów przygotowywany jest przez grupę roboczą w skład której wchodzą przedstawiciele Zarządu LGD, Rady LGD oraz Biura LGD.</w:t>
      </w:r>
    </w:p>
    <w:p w14:paraId="0000000F" w14:textId="77777777" w:rsidR="00374464" w:rsidRDefault="00936E8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427"/>
        <w:jc w:val="both"/>
        <w:rPr>
          <w:color w:val="000000"/>
        </w:rPr>
      </w:pPr>
      <w:r>
        <w:rPr>
          <w:color w:val="000000"/>
        </w:rPr>
        <w:t>Projekt kryteriów poddany jest konsultacjom społecznym w formie:</w:t>
      </w:r>
    </w:p>
    <w:p w14:paraId="00000010" w14:textId="77777777" w:rsidR="00374464" w:rsidRDefault="00936E8E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851"/>
        <w:jc w:val="both"/>
        <w:rPr>
          <w:color w:val="000000"/>
        </w:rPr>
      </w:pPr>
      <w:r>
        <w:rPr>
          <w:color w:val="000000"/>
        </w:rPr>
        <w:t>zamieszczenia na stronie internetowej LGD z określeniem kanałów komunikacji zwrotnej;</w:t>
      </w:r>
    </w:p>
    <w:p w14:paraId="00000011" w14:textId="77777777" w:rsidR="00374464" w:rsidRDefault="00936E8E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851"/>
        <w:jc w:val="both"/>
        <w:rPr>
          <w:color w:val="000000"/>
        </w:rPr>
      </w:pPr>
      <w:r>
        <w:rPr>
          <w:color w:val="000000"/>
        </w:rPr>
        <w:t>przeprowadzenia ankiety, w tym ankiety internetowej;</w:t>
      </w:r>
    </w:p>
    <w:p w14:paraId="00000012" w14:textId="77777777" w:rsidR="00374464" w:rsidRDefault="00936E8E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851"/>
        <w:jc w:val="both"/>
        <w:rPr>
          <w:color w:val="000000"/>
        </w:rPr>
      </w:pPr>
      <w:r>
        <w:rPr>
          <w:color w:val="000000"/>
        </w:rPr>
        <w:t>bezpośrednich spotkań z mieszkańcami.</w:t>
      </w:r>
    </w:p>
    <w:p w14:paraId="00000013" w14:textId="77777777" w:rsidR="00374464" w:rsidRDefault="00936E8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427"/>
        <w:jc w:val="both"/>
        <w:rPr>
          <w:color w:val="000000"/>
        </w:rPr>
      </w:pPr>
      <w:r>
        <w:rPr>
          <w:color w:val="000000"/>
        </w:rPr>
        <w:t>Warunek opisany w §3 ust. 2  uznaje się za spełniony jeśli zastosowano co najmniej jedną z form opisanych w §3 ust. 2 a) – c) .</w:t>
      </w:r>
    </w:p>
    <w:p w14:paraId="00000014" w14:textId="77777777" w:rsidR="00374464" w:rsidRDefault="00936E8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427"/>
        <w:jc w:val="both"/>
        <w:rPr>
          <w:color w:val="000000"/>
        </w:rPr>
      </w:pPr>
      <w:r>
        <w:rPr>
          <w:color w:val="000000"/>
        </w:rPr>
        <w:t>Zmiana kryteriów wymaga przeprowadzenia konsultacji opisanych w §3 ust. 2 i 3.</w:t>
      </w:r>
    </w:p>
    <w:p w14:paraId="00000015" w14:textId="77777777" w:rsidR="00374464" w:rsidRDefault="00374464">
      <w:p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</w:rPr>
      </w:pPr>
    </w:p>
    <w:p w14:paraId="00000016" w14:textId="77777777" w:rsidR="00374464" w:rsidRDefault="00936E8E">
      <w:pPr>
        <w:spacing w:after="0"/>
        <w:jc w:val="center"/>
      </w:pPr>
      <w:r>
        <w:t>§4</w:t>
      </w:r>
    </w:p>
    <w:p w14:paraId="00000017" w14:textId="77777777" w:rsidR="00374464" w:rsidRDefault="00936E8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</w:rPr>
      </w:pPr>
      <w:bookmarkStart w:id="1" w:name="_heading=h.gjdgxs" w:colFirst="0" w:colLast="0"/>
      <w:bookmarkEnd w:id="1"/>
      <w:r>
        <w:rPr>
          <w:color w:val="000000"/>
        </w:rPr>
        <w:t xml:space="preserve">Po uwzględnieniu wyników konsultacji społecznych kryteria zatwierdzane są przez </w:t>
      </w:r>
      <w:r>
        <w:rPr>
          <w:color w:val="000000"/>
          <w:highlight w:val="yellow"/>
        </w:rPr>
        <w:t>Walne Zebranie Członków LGD</w:t>
      </w:r>
      <w:r>
        <w:rPr>
          <w:color w:val="000000"/>
        </w:rPr>
        <w:t>.</w:t>
      </w:r>
    </w:p>
    <w:p w14:paraId="00000018" w14:textId="77777777" w:rsidR="00374464" w:rsidRDefault="00936E8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</w:rPr>
      </w:pPr>
      <w:r>
        <w:rPr>
          <w:color w:val="000000"/>
        </w:rPr>
        <w:lastRenderedPageBreak/>
        <w:t xml:space="preserve">Zgodnie z decyzją Walnego Zebrania Członków zmiany </w:t>
      </w:r>
      <w:r>
        <w:t xml:space="preserve">kryteriów </w:t>
      </w:r>
      <w:r>
        <w:rPr>
          <w:color w:val="000000"/>
        </w:rPr>
        <w:t xml:space="preserve">zatwierdzane są decyzją </w:t>
      </w:r>
      <w:r>
        <w:rPr>
          <w:color w:val="000000"/>
          <w:highlight w:val="yellow"/>
        </w:rPr>
        <w:t>Zarządu LGD</w:t>
      </w:r>
      <w:r>
        <w:rPr>
          <w:color w:val="000000"/>
        </w:rPr>
        <w:t>.</w:t>
      </w:r>
    </w:p>
    <w:p w14:paraId="00000019" w14:textId="77777777" w:rsidR="00374464" w:rsidRDefault="00374464">
      <w:pPr>
        <w:spacing w:after="0"/>
        <w:jc w:val="center"/>
      </w:pPr>
    </w:p>
    <w:p w14:paraId="0000001A" w14:textId="77777777" w:rsidR="00374464" w:rsidRDefault="00936E8E">
      <w:pPr>
        <w:spacing w:after="0"/>
        <w:jc w:val="center"/>
      </w:pPr>
      <w:r>
        <w:t>§5</w:t>
      </w:r>
    </w:p>
    <w:p w14:paraId="0000001B" w14:textId="77777777" w:rsidR="00374464" w:rsidRDefault="00936E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</w:rPr>
      </w:pPr>
      <w:r>
        <w:rPr>
          <w:color w:val="000000"/>
        </w:rPr>
        <w:t>Procedura zmiany kryteriów wyboru wniosków może być uruchomiona w przypadku:</w:t>
      </w:r>
    </w:p>
    <w:p w14:paraId="0000001C" w14:textId="77777777" w:rsidR="00374464" w:rsidRDefault="00936E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color w:val="000000"/>
        </w:rPr>
        <w:t>identyfikacji błędów dotyczących poszczególnych kryteriów</w:t>
      </w:r>
    </w:p>
    <w:p w14:paraId="0000001D" w14:textId="77777777" w:rsidR="00374464" w:rsidRDefault="00936E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color w:val="000000"/>
        </w:rPr>
        <w:t xml:space="preserve">na wniosek: </w:t>
      </w:r>
    </w:p>
    <w:p w14:paraId="0000001E" w14:textId="77777777" w:rsidR="00374464" w:rsidRDefault="00936E8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color w:val="000000"/>
        </w:rPr>
        <w:t xml:space="preserve">Przewodniczącego Rady LGD, </w:t>
      </w:r>
    </w:p>
    <w:p w14:paraId="0000001F" w14:textId="77777777" w:rsidR="00374464" w:rsidRDefault="00936E8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color w:val="000000"/>
        </w:rPr>
        <w:t>Zarządu, po zebraniu informacji z monitoringu LSR,</w:t>
      </w:r>
    </w:p>
    <w:p w14:paraId="00000020" w14:textId="77777777" w:rsidR="00374464" w:rsidRDefault="00936E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color w:val="000000"/>
        </w:rPr>
        <w:t>na podstawie wniosków lub rekomendacji będących efektem ewaluacji realizacji LSR,</w:t>
      </w:r>
    </w:p>
    <w:p w14:paraId="00000021" w14:textId="77777777" w:rsidR="00374464" w:rsidRDefault="00936E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color w:val="000000"/>
        </w:rPr>
        <w:t>w związku ze zmianą przepisów prawa,</w:t>
      </w:r>
    </w:p>
    <w:p w14:paraId="00000022" w14:textId="77777777" w:rsidR="00374464" w:rsidRDefault="00936E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color w:val="000000"/>
        </w:rPr>
        <w:t>na podstawie rekomendacji ZW.</w:t>
      </w:r>
    </w:p>
    <w:p w14:paraId="00000023" w14:textId="77777777" w:rsidR="00374464" w:rsidRDefault="00374464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00000024" w14:textId="77777777" w:rsidR="00374464" w:rsidRDefault="00936E8E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</w:rPr>
      </w:pPr>
      <w:r>
        <w:rPr>
          <w:color w:val="000000"/>
        </w:rPr>
        <w:t>§6</w:t>
      </w:r>
    </w:p>
    <w:p w14:paraId="00000025" w14:textId="77777777" w:rsidR="00374464" w:rsidRDefault="00936E8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349"/>
        <w:jc w:val="both"/>
        <w:rPr>
          <w:color w:val="000000"/>
        </w:rPr>
      </w:pPr>
      <w:r>
        <w:rPr>
          <w:color w:val="000000"/>
        </w:rPr>
        <w:t>Kryteria ustalone przez LGD są:</w:t>
      </w:r>
    </w:p>
    <w:p w14:paraId="00000026" w14:textId="77777777" w:rsidR="00374464" w:rsidRDefault="00936E8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851" w:hanging="425"/>
        <w:jc w:val="both"/>
        <w:rPr>
          <w:color w:val="000000"/>
        </w:rPr>
      </w:pPr>
      <w:r>
        <w:rPr>
          <w:color w:val="000000"/>
        </w:rPr>
        <w:t>logicznie powiązane ze stwierdzonymi potrzebami, określonymi celami oraz przyjętymi wskaźnikami produktu i rezultatu zapisanymi w LSR,</w:t>
      </w:r>
    </w:p>
    <w:p w14:paraId="00000027" w14:textId="77777777" w:rsidR="00374464" w:rsidRDefault="00936E8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851" w:hanging="425"/>
        <w:jc w:val="both"/>
        <w:rPr>
          <w:color w:val="000000"/>
        </w:rPr>
      </w:pPr>
      <w:r>
        <w:rPr>
          <w:color w:val="000000"/>
        </w:rPr>
        <w:t xml:space="preserve">przejrzyste, obiektywne i niedyskryminujące, </w:t>
      </w:r>
    </w:p>
    <w:p w14:paraId="00000028" w14:textId="77777777" w:rsidR="00374464" w:rsidRDefault="00936E8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851" w:hanging="425"/>
        <w:jc w:val="both"/>
        <w:rPr>
          <w:color w:val="000000"/>
        </w:rPr>
      </w:pPr>
      <w:r>
        <w:rPr>
          <w:color w:val="000000"/>
        </w:rPr>
        <w:t>mierzalne oraz powinny posiadać dodatkowe opisy i definicje, pozwalające na ich właściwe zrozumienie i zastosowanie,</w:t>
      </w:r>
    </w:p>
    <w:p w14:paraId="00000029" w14:textId="77777777" w:rsidR="00374464" w:rsidRDefault="00936E8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851" w:hanging="425"/>
        <w:jc w:val="both"/>
        <w:rPr>
          <w:color w:val="000000"/>
        </w:rPr>
      </w:pPr>
      <w:r>
        <w:rPr>
          <w:color w:val="000000"/>
        </w:rPr>
        <w:t>dookreślone w zakresie spełniania warunków przyznania określonej liczby punktów.</w:t>
      </w:r>
    </w:p>
    <w:p w14:paraId="0000002A" w14:textId="77777777" w:rsidR="00374464" w:rsidRDefault="00374464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</w:rPr>
      </w:pPr>
    </w:p>
    <w:p w14:paraId="0000002B" w14:textId="77777777" w:rsidR="00374464" w:rsidRDefault="00936E8E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</w:rPr>
      </w:pPr>
      <w:r>
        <w:rPr>
          <w:color w:val="000000"/>
        </w:rPr>
        <w:t>§7</w:t>
      </w:r>
    </w:p>
    <w:p w14:paraId="0000002C" w14:textId="77777777" w:rsidR="00374464" w:rsidRDefault="00936E8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349"/>
        <w:jc w:val="both"/>
        <w:rPr>
          <w:color w:val="000000"/>
        </w:rPr>
      </w:pPr>
      <w:r>
        <w:rPr>
          <w:color w:val="000000"/>
        </w:rPr>
        <w:t>Kryteria wyboru operacji publikowane są co najmniej na stronie internetowej LGD.</w:t>
      </w:r>
    </w:p>
    <w:p w14:paraId="0000002D" w14:textId="77777777" w:rsidR="00374464" w:rsidRDefault="00374464"/>
    <w:sectPr w:rsidR="00374464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FA292558-707A-40D8-AF06-4FB12F4FF43E}"/>
    <w:embedBold r:id="rId2" w:fontKey="{1B452007-5882-4D55-AAA3-489F17997A6F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09BA5665-80C6-4EF3-9DFE-39D451DAD41F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4" w:fontKey="{B0E584BD-E42C-44D5-817C-ABFD6A2DFC94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5" w:fontKey="{ABC77F59-4649-4AB2-81A8-B69A830166CE}"/>
    <w:embedItalic r:id="rId6" w:fontKey="{30B8B449-A357-4E2F-9BD4-E9C18D07302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9300C"/>
    <w:multiLevelType w:val="multilevel"/>
    <w:tmpl w:val="E794C2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81531"/>
    <w:multiLevelType w:val="multilevel"/>
    <w:tmpl w:val="80D61A1C"/>
    <w:lvl w:ilvl="0">
      <w:start w:val="1"/>
      <w:numFmt w:val="decimal"/>
      <w:lvlText w:val="%1."/>
      <w:lvlJc w:val="left"/>
      <w:pPr>
        <w:ind w:left="1430" w:hanging="71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E67132"/>
    <w:multiLevelType w:val="multilevel"/>
    <w:tmpl w:val="A2FE75CA"/>
    <w:lvl w:ilvl="0">
      <w:start w:val="1"/>
      <w:numFmt w:val="decimal"/>
      <w:lvlText w:val="%1."/>
      <w:lvlJc w:val="left"/>
      <w:pPr>
        <w:ind w:left="1070" w:hanging="71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DB03CD"/>
    <w:multiLevelType w:val="multilevel"/>
    <w:tmpl w:val="DFA07D2A"/>
    <w:lvl w:ilvl="0">
      <w:start w:val="1"/>
      <w:numFmt w:val="lowerLetter"/>
      <w:lvlText w:val="%1)"/>
      <w:lvlJc w:val="left"/>
      <w:pPr>
        <w:ind w:left="1070" w:hanging="71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543DE0"/>
    <w:multiLevelType w:val="multilevel"/>
    <w:tmpl w:val="0F9876B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735A2F"/>
    <w:multiLevelType w:val="multilevel"/>
    <w:tmpl w:val="033A183A"/>
    <w:lvl w:ilvl="0">
      <w:start w:val="1"/>
      <w:numFmt w:val="decimal"/>
      <w:lvlText w:val="%1."/>
      <w:lvlJc w:val="left"/>
      <w:pPr>
        <w:ind w:left="1070" w:hanging="71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4E4DCA"/>
    <w:multiLevelType w:val="multilevel"/>
    <w:tmpl w:val="F90A9ECA"/>
    <w:lvl w:ilvl="0">
      <w:start w:val="1"/>
      <w:numFmt w:val="decimal"/>
      <w:lvlText w:val="%1."/>
      <w:lvlJc w:val="left"/>
      <w:pPr>
        <w:ind w:left="1070" w:hanging="71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FF7197"/>
    <w:multiLevelType w:val="multilevel"/>
    <w:tmpl w:val="DCC053A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07051AC"/>
    <w:multiLevelType w:val="multilevel"/>
    <w:tmpl w:val="DD00D6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3E1E90"/>
    <w:multiLevelType w:val="multilevel"/>
    <w:tmpl w:val="6EDC55AC"/>
    <w:lvl w:ilvl="0">
      <w:start w:val="1"/>
      <w:numFmt w:val="decimal"/>
      <w:lvlText w:val="%1."/>
      <w:lvlJc w:val="left"/>
      <w:pPr>
        <w:ind w:left="1070" w:hanging="71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DB157B"/>
    <w:multiLevelType w:val="multilevel"/>
    <w:tmpl w:val="93687D52"/>
    <w:lvl w:ilvl="0">
      <w:start w:val="1"/>
      <w:numFmt w:val="lowerRoman"/>
      <w:lvlText w:val="%1."/>
      <w:lvlJc w:val="right"/>
      <w:pPr>
        <w:ind w:left="1440" w:hanging="360"/>
      </w:p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2"/>
  </w:num>
  <w:num w:numId="7">
    <w:abstractNumId w:val="9"/>
  </w:num>
  <w:num w:numId="8">
    <w:abstractNumId w:val="10"/>
  </w:num>
  <w:num w:numId="9">
    <w:abstractNumId w:val="1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464"/>
    <w:rsid w:val="00106B91"/>
    <w:rsid w:val="00374464"/>
    <w:rsid w:val="00792D4F"/>
    <w:rsid w:val="00843310"/>
    <w:rsid w:val="0093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582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43A5"/>
  </w:style>
  <w:style w:type="paragraph" w:styleId="Nagwek1">
    <w:name w:val="heading 1"/>
    <w:basedOn w:val="Normalny"/>
    <w:next w:val="Normalny"/>
    <w:link w:val="Nagwek1Znak"/>
    <w:uiPriority w:val="9"/>
    <w:qFormat/>
    <w:rsid w:val="004243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243A5"/>
    <w:pPr>
      <w:keepNext/>
      <w:keepLines/>
      <w:spacing w:before="240" w:after="0"/>
      <w:jc w:val="center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1Znak">
    <w:name w:val="Nagłówek 1 Znak"/>
    <w:basedOn w:val="Domylnaczcionkaakapitu"/>
    <w:link w:val="Nagwek1"/>
    <w:uiPriority w:val="9"/>
    <w:rsid w:val="004243A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4243A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4243A5"/>
    <w:pPr>
      <w:ind w:left="720"/>
      <w:contextualSpacing/>
    </w:p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rsid w:val="004243A5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43A5"/>
  </w:style>
  <w:style w:type="paragraph" w:styleId="Nagwek1">
    <w:name w:val="heading 1"/>
    <w:basedOn w:val="Normalny"/>
    <w:next w:val="Normalny"/>
    <w:link w:val="Nagwek1Znak"/>
    <w:uiPriority w:val="9"/>
    <w:qFormat/>
    <w:rsid w:val="004243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243A5"/>
    <w:pPr>
      <w:keepNext/>
      <w:keepLines/>
      <w:spacing w:before="240" w:after="0"/>
      <w:jc w:val="center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1Znak">
    <w:name w:val="Nagłówek 1 Znak"/>
    <w:basedOn w:val="Domylnaczcionkaakapitu"/>
    <w:link w:val="Nagwek1"/>
    <w:uiPriority w:val="9"/>
    <w:rsid w:val="004243A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4243A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4243A5"/>
    <w:pPr>
      <w:ind w:left="720"/>
      <w:contextualSpacing/>
    </w:p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rsid w:val="004243A5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iSzj3JhsO43Lykbk8+M8x5uAlg==">CgMxLjAyCGguZ2pkZ3hzOAByITFpOXdFYlBRRVJ3aDlmU2laWklSbDRmMFRVWFJCa3lRcw==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Windows User</cp:lastModifiedBy>
  <cp:revision>4</cp:revision>
  <dcterms:created xsi:type="dcterms:W3CDTF">2024-06-14T12:38:00Z</dcterms:created>
  <dcterms:modified xsi:type="dcterms:W3CDTF">2024-06-18T13:18:00Z</dcterms:modified>
</cp:coreProperties>
</file>